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bookmarkStart w:id="0" w:name="_GoBack"/>
            <w:bookmarkEnd w:id="0"/>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D72CF6">
              <w:rPr>
                <w:noProof/>
              </w:rPr>
            </w:r>
            <w:r w:rsidR="00D72CF6">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2"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4"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D72CF6">
              <w:rPr>
                <w:noProof/>
                <w:lang w:eastAsia="zh-CN"/>
              </w:rPr>
            </w:r>
            <w:r w:rsidR="00D72CF6">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D72CF6">
              <w:rPr>
                <w:noProof/>
                <w:lang w:eastAsia="zh-CN"/>
              </w:rPr>
            </w:r>
            <w:r w:rsidR="00D72CF6">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14A38214" w:rsidR="00D67796" w:rsidRDefault="00D67796">
        <w:pPr>
          <w:pStyle w:val="Footer"/>
          <w:jc w:val="right"/>
        </w:pPr>
        <w:r>
          <w:fldChar w:fldCharType="begin"/>
        </w:r>
        <w:r>
          <w:instrText xml:space="preserve"> PAGE   \* MERGEFORMAT </w:instrText>
        </w:r>
        <w:r>
          <w:fldChar w:fldCharType="separate"/>
        </w:r>
        <w:r w:rsidR="00D72CF6">
          <w:rPr>
            <w:noProof/>
          </w:rPr>
          <w:t>8</w:t>
        </w:r>
        <w:r>
          <w:rPr>
            <w:noProof/>
          </w:rPr>
          <w:fldChar w:fldCharType="end"/>
        </w:r>
      </w:p>
    </w:sdtContent>
  </w:sdt>
  <w:p w14:paraId="09653982" w14:textId="1F813A4A" w:rsidR="00D67796" w:rsidRDefault="00D72CF6">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D67796" w:rsidRPr="00982B24" w:rsidRDefault="00D67796"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D67796" w:rsidRPr="00982B24" w:rsidRDefault="00D67796" w:rsidP="00982B24">
      <w:pPr>
        <w:jc w:val="both"/>
        <w:rPr>
          <w:i/>
          <w:iCs/>
          <w:sz w:val="18"/>
          <w:szCs w:val="18"/>
          <w:highlight w:val="lightGray"/>
        </w:rPr>
      </w:pPr>
    </w:p>
    <w:p w14:paraId="69BCB727"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D67796" w:rsidRPr="00982B24" w:rsidRDefault="00D67796" w:rsidP="00982B24">
      <w:pPr>
        <w:jc w:val="both"/>
        <w:rPr>
          <w:i/>
          <w:iCs/>
          <w:sz w:val="18"/>
          <w:szCs w:val="18"/>
          <w:highlight w:val="lightGray"/>
        </w:rPr>
      </w:pPr>
    </w:p>
    <w:p w14:paraId="1A959FDD" w14:textId="77777777"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D67796" w:rsidRPr="00982B24" w:rsidRDefault="00D67796" w:rsidP="00982B24">
      <w:pPr>
        <w:jc w:val="both"/>
        <w:rPr>
          <w:i/>
          <w:iCs/>
          <w:sz w:val="18"/>
          <w:szCs w:val="18"/>
          <w:highlight w:val="lightGray"/>
        </w:rPr>
      </w:pPr>
    </w:p>
    <w:p w14:paraId="4135B18B" w14:textId="77777777"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77777777"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14:paraId="5A937D55" w14:textId="77777777" w:rsidR="00D67796" w:rsidRPr="00982B24" w:rsidRDefault="00D67796" w:rsidP="00982B24">
      <w:pPr>
        <w:jc w:val="both"/>
        <w:rPr>
          <w:i/>
          <w:iCs/>
          <w:sz w:val="18"/>
          <w:szCs w:val="18"/>
          <w:highlight w:val="lightGray"/>
        </w:rPr>
      </w:pPr>
    </w:p>
    <w:p w14:paraId="673C0CFA" w14:textId="77777777"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D67796" w:rsidRPr="00982B24" w:rsidRDefault="00D67796" w:rsidP="00982B24">
      <w:pPr>
        <w:jc w:val="both"/>
        <w:rPr>
          <w:i/>
          <w:iCs/>
          <w:sz w:val="18"/>
          <w:szCs w:val="18"/>
          <w:highlight w:val="lightGray"/>
        </w:rPr>
      </w:pPr>
    </w:p>
    <w:p w14:paraId="50B262FD"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D67796" w:rsidRPr="00982B24" w:rsidRDefault="00D67796" w:rsidP="00982B24">
      <w:pPr>
        <w:jc w:val="both"/>
        <w:rPr>
          <w:i/>
          <w:iCs/>
          <w:sz w:val="18"/>
          <w:szCs w:val="18"/>
          <w:highlight w:val="lightGray"/>
        </w:rPr>
      </w:pPr>
    </w:p>
    <w:p w14:paraId="3468043B" w14:textId="77777777"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D67796" w:rsidRPr="00F26952" w:rsidRDefault="00D677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A2BF0-6E92-4671-8DA3-A450F01F5B0C}">
  <ds:schemaRefs>
    <ds:schemaRef ds:uri="http://schemas.openxmlformats.org/officeDocument/2006/bibliography"/>
  </ds:schemaRefs>
</ds:datastoreItem>
</file>

<file path=customXml/itemProps2.xml><?xml version="1.0" encoding="utf-8"?>
<ds:datastoreItem xmlns:ds="http://schemas.openxmlformats.org/officeDocument/2006/customXml" ds:itemID="{EC2D4AB1-46D1-4EB9-B878-EF8F780A8B91}"/>
</file>

<file path=customXml/itemProps3.xml><?xml version="1.0" encoding="utf-8"?>
<ds:datastoreItem xmlns:ds="http://schemas.openxmlformats.org/officeDocument/2006/customXml" ds:itemID="{16E69A6A-EF83-4D95-9326-675462FD19A7}"/>
</file>

<file path=customXml/itemProps4.xml><?xml version="1.0" encoding="utf-8"?>
<ds:datastoreItem xmlns:ds="http://schemas.openxmlformats.org/officeDocument/2006/customXml" ds:itemID="{A96B479E-95A2-4667-ABAB-330B50712A97}"/>
</file>

<file path=docProps/app.xml><?xml version="1.0" encoding="utf-8"?>
<Properties xmlns="http://schemas.openxmlformats.org/officeDocument/2006/extended-properties" xmlns:vt="http://schemas.openxmlformats.org/officeDocument/2006/docPropsVTypes">
  <Template>Normal</Template>
  <TotalTime>1242</TotalTime>
  <Pages>8</Pages>
  <Words>2996</Words>
  <Characters>15853</Characters>
  <Application>Microsoft Office Word</Application>
  <DocSecurity>0</DocSecurity>
  <Lines>452</Lines>
  <Paragraphs>294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OTERO VEGA Yolanda (DEVCO)</cp:lastModifiedBy>
  <cp:revision>53</cp:revision>
  <dcterms:created xsi:type="dcterms:W3CDTF">2020-05-08T08:58:00Z</dcterms:created>
  <dcterms:modified xsi:type="dcterms:W3CDTF">2022-05-17T13:09:00Z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