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0" w:edGrp="everyone"/>
      <w:permEnd w:id="0"/>
      <w:r w:rsidRPr="006A5F84">
        <w:rPr>
          <w:i/>
          <w:sz w:val="28"/>
          <w:szCs w:val="28"/>
          <w:lang w:val="en-GB"/>
        </w:rPr>
        <w:t>TENDER FORM FOR A SUPPLY CONTRACT</w:t>
      </w:r>
      <w:bookmarkEnd w:id="0"/>
    </w:p>
    <w:bookmarkEnd w:id="1"/>
    <w:p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670B78">
        <w:rPr>
          <w:sz w:val="22"/>
          <w:szCs w:val="22"/>
          <w:lang w:val="en-GB"/>
        </w:rPr>
        <w:t>IPA ADRION 368/ No.2 (No.05-96/2)</w:t>
      </w:r>
    </w:p>
    <w:p w:rsidR="0047783A" w:rsidRPr="006A5F84" w:rsidRDefault="0047783A" w:rsidP="0047783A">
      <w:pPr>
        <w:pStyle w:val="Title"/>
        <w:jc w:val="left"/>
        <w:outlineLvl w:val="0"/>
        <w:rPr>
          <w:sz w:val="22"/>
          <w:szCs w:val="22"/>
          <w:lang w:val="en-GB"/>
        </w:rPr>
      </w:pPr>
      <w:r w:rsidRPr="006A5F84">
        <w:rPr>
          <w:sz w:val="22"/>
          <w:szCs w:val="22"/>
          <w:lang w:val="en-GB"/>
        </w:rPr>
        <w:t>Title of contract:</w:t>
      </w:r>
      <w:r w:rsidR="006E6CCA" w:rsidRPr="006E6CCA">
        <w:rPr>
          <w:rStyle w:val="Strong"/>
          <w:sz w:val="22"/>
          <w:szCs w:val="22"/>
          <w:lang w:val="en-GB"/>
        </w:rPr>
        <w:t>Supply of Van for transportation of disadvantage people</w:t>
      </w:r>
    </w:p>
    <w:p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&gt;.</w:t>
      </w:r>
    </w:p>
    <w:p w:rsidR="0047783A" w:rsidRPr="006A5F84" w:rsidRDefault="0047783A">
      <w:pPr>
        <w:pStyle w:val="Blockquote"/>
        <w:pBdr>
          <w:top w:val="single" w:sz="4" w:space="1" w:color="auto"/>
        </w:pBdr>
        <w:spacing w:before="0" w:after="0"/>
        <w:ind w:left="0" w:right="0"/>
        <w:jc w:val="center"/>
        <w:rPr>
          <w:sz w:val="18"/>
          <w:lang w:val="en-GB"/>
        </w:rPr>
      </w:pPr>
    </w:p>
    <w:p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avoided.It is also recommended to use</w:t>
      </w:r>
      <w:r w:rsidRPr="003A40CF">
        <w:rPr>
          <w:sz w:val="22"/>
          <w:szCs w:val="22"/>
          <w:highlight w:val="yellow"/>
          <w:lang w:val="en-GB"/>
        </w:rPr>
        <w:t xml:space="preserve"> double-sided printing as much as possible. </w:t>
      </w:r>
    </w:p>
    <w:p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sidRPr="002846FC">
        <w:rPr>
          <w:sz w:val="22"/>
          <w:szCs w:val="22"/>
          <w:highlight w:val="yellow"/>
          <w:lang w:val="en-GB"/>
        </w:rPr>
        <w:t>See further instructions below</w:t>
      </w:r>
      <w:r w:rsidR="00B60E33">
        <w:rPr>
          <w:sz w:val="22"/>
          <w:szCs w:val="22"/>
          <w:highlight w:val="yellow"/>
          <w:lang w:val="en-GB"/>
        </w:rPr>
        <w:t>.</w:t>
      </w:r>
    </w:p>
    <w:p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rsidR="000714DC" w:rsidRPr="004F0604" w:rsidRDefault="000714DC" w:rsidP="0047783A">
      <w:pPr>
        <w:pStyle w:val="Blockquote"/>
        <w:spacing w:before="120" w:after="120"/>
        <w:ind w:left="0" w:right="0"/>
        <w:jc w:val="both"/>
        <w:rPr>
          <w:b/>
          <w:sz w:val="22"/>
          <w:szCs w:val="22"/>
        </w:rPr>
      </w:pPr>
    </w:p>
    <w:p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request.For economical and ecological reasons, we strongly recommend that you submit your files on paper-based materials (no plastic folder or divider). We also suggest you use double-sided print-outs as much as possible.</w:t>
      </w:r>
    </w:p>
    <w:p w:rsidR="00A45A0D" w:rsidRPr="003F1E6B" w:rsidRDefault="00A45A0D" w:rsidP="004F0604">
      <w:pPr>
        <w:pStyle w:val="Blockquote"/>
        <w:ind w:left="0"/>
        <w:jc w:val="both"/>
        <w:rPr>
          <w:sz w:val="22"/>
          <w:szCs w:val="22"/>
        </w:rPr>
      </w:pPr>
      <w:r w:rsidRPr="003F1E6B">
        <w:rPr>
          <w:sz w:val="22"/>
          <w:szCs w:val="22"/>
        </w:rPr>
        <w:t>Capacity-providing entities</w:t>
      </w:r>
    </w:p>
    <w:p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w:t>
      </w:r>
      <w:r>
        <w:rPr>
          <w:sz w:val="22"/>
          <w:szCs w:val="22"/>
        </w:rPr>
        <w:lastRenderedPageBreak/>
        <w:t xml:space="preserve">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A45A0D" w:rsidRPr="006A5F84" w:rsidRDefault="00A45A0D" w:rsidP="0047783A">
      <w:pPr>
        <w:pStyle w:val="Blockquote"/>
        <w:spacing w:before="120" w:after="120"/>
        <w:ind w:left="0" w:right="0"/>
        <w:jc w:val="both"/>
        <w:rPr>
          <w:sz w:val="22"/>
          <w:szCs w:val="22"/>
          <w:lang w:val="en-GB"/>
        </w:rPr>
      </w:pPr>
    </w:p>
    <w:p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4678"/>
        <w:gridCol w:w="1559"/>
      </w:tblGrid>
      <w:tr w:rsidR="0047783A" w:rsidRPr="006A5F84" w:rsidTr="0047783A">
        <w:trPr>
          <w:cantSplit/>
        </w:trPr>
        <w:tc>
          <w:tcPr>
            <w:tcW w:w="1701" w:type="dxa"/>
            <w:tcBorders>
              <w:top w:val="nil"/>
              <w:left w:val="nil"/>
            </w:tcBorders>
          </w:tcPr>
          <w:p w:rsidR="0047783A" w:rsidRPr="006A5F84" w:rsidRDefault="0047783A">
            <w:pPr>
              <w:jc w:val="both"/>
              <w:rPr>
                <w:b/>
                <w:sz w:val="22"/>
              </w:rPr>
            </w:pPr>
          </w:p>
        </w:tc>
        <w:tc>
          <w:tcPr>
            <w:tcW w:w="4678" w:type="dxa"/>
            <w:shd w:val="pct5" w:color="auto" w:fill="FFFFFF"/>
          </w:tcPr>
          <w:p w:rsidR="0047783A" w:rsidRPr="006A5F84" w:rsidRDefault="0047783A">
            <w:pPr>
              <w:jc w:val="both"/>
              <w:rPr>
                <w:b/>
                <w:sz w:val="22"/>
              </w:rPr>
            </w:pPr>
            <w:r w:rsidRPr="006A5F84">
              <w:rPr>
                <w:b/>
                <w:sz w:val="22"/>
              </w:rPr>
              <w:t>Name(s) of tenderer(s)</w:t>
            </w:r>
          </w:p>
        </w:tc>
        <w:tc>
          <w:tcPr>
            <w:tcW w:w="1559" w:type="dxa"/>
            <w:shd w:val="pct5" w:color="auto" w:fill="FFFFFF"/>
          </w:tcPr>
          <w:p w:rsidR="0047783A" w:rsidRPr="006A5F84" w:rsidRDefault="0047783A">
            <w:pPr>
              <w:jc w:val="both"/>
              <w:rPr>
                <w:b/>
                <w:sz w:val="22"/>
              </w:rPr>
            </w:pPr>
            <w:r w:rsidRPr="006A5F84">
              <w:rPr>
                <w:b/>
                <w:sz w:val="22"/>
              </w:rPr>
              <w:t>Nationality</w:t>
            </w:r>
            <w:r w:rsidRPr="006A5F84">
              <w:rPr>
                <w:rStyle w:val="FootnoteReference"/>
                <w:b/>
                <w:sz w:val="22"/>
              </w:rPr>
              <w:footnoteReference w:id="2"/>
            </w:r>
          </w:p>
        </w:tc>
      </w:tr>
      <w:tr w:rsidR="0047783A" w:rsidRPr="006A5F84" w:rsidTr="0047783A">
        <w:trPr>
          <w:cantSplit/>
          <w:trHeight w:val="951"/>
        </w:trPr>
        <w:tc>
          <w:tcPr>
            <w:tcW w:w="1701" w:type="dxa"/>
          </w:tcPr>
          <w:p w:rsidR="0047783A" w:rsidRPr="006A5F84" w:rsidRDefault="0047783A">
            <w:pPr>
              <w:rPr>
                <w:b/>
                <w:sz w:val="22"/>
              </w:rPr>
            </w:pPr>
            <w:r w:rsidRPr="006A5F84">
              <w:rPr>
                <w:b/>
                <w:sz w:val="22"/>
              </w:rPr>
              <w:t>Leader</w:t>
            </w:r>
            <w:r w:rsidRPr="006A5F84">
              <w:rPr>
                <w:rStyle w:val="FootnoteReference"/>
                <w:b/>
                <w:sz w:val="22"/>
              </w:rPr>
              <w:footnoteReference w:id="3"/>
            </w:r>
          </w:p>
        </w:tc>
        <w:tc>
          <w:tcPr>
            <w:tcW w:w="4678" w:type="dxa"/>
          </w:tcPr>
          <w:p w:rsidR="0047783A" w:rsidRPr="006A5F84" w:rsidRDefault="0047783A">
            <w:pPr>
              <w:jc w:val="both"/>
              <w:rPr>
                <w:b/>
                <w:sz w:val="22"/>
              </w:rPr>
            </w:pPr>
          </w:p>
        </w:tc>
        <w:tc>
          <w:tcPr>
            <w:tcW w:w="1559" w:type="dxa"/>
          </w:tcPr>
          <w:p w:rsidR="0047783A" w:rsidRPr="006A5F84" w:rsidRDefault="0047783A">
            <w:pPr>
              <w:jc w:val="both"/>
              <w:rPr>
                <w:b/>
                <w:sz w:val="22"/>
              </w:rPr>
            </w:pPr>
          </w:p>
        </w:tc>
      </w:tr>
      <w:tr w:rsidR="0047783A" w:rsidRPr="006A5F84" w:rsidTr="0047783A">
        <w:trPr>
          <w:cantSplit/>
          <w:trHeight w:val="979"/>
        </w:trPr>
        <w:tc>
          <w:tcPr>
            <w:tcW w:w="1701" w:type="dxa"/>
          </w:tcPr>
          <w:p w:rsidR="0047783A" w:rsidRPr="006A5F84" w:rsidRDefault="0047783A">
            <w:pPr>
              <w:jc w:val="both"/>
              <w:rPr>
                <w:b/>
                <w:sz w:val="22"/>
              </w:rPr>
            </w:pPr>
            <w:r w:rsidRPr="006A5F84">
              <w:rPr>
                <w:b/>
                <w:sz w:val="22"/>
              </w:rPr>
              <w:t xml:space="preserve">Member </w:t>
            </w:r>
          </w:p>
        </w:tc>
        <w:tc>
          <w:tcPr>
            <w:tcW w:w="4678" w:type="dxa"/>
          </w:tcPr>
          <w:p w:rsidR="0047783A" w:rsidRPr="006A5F84" w:rsidRDefault="0047783A">
            <w:pPr>
              <w:jc w:val="both"/>
              <w:rPr>
                <w:b/>
                <w:sz w:val="22"/>
              </w:rPr>
            </w:pPr>
          </w:p>
        </w:tc>
        <w:tc>
          <w:tcPr>
            <w:tcW w:w="1559" w:type="dxa"/>
          </w:tcPr>
          <w:p w:rsidR="0047783A" w:rsidRPr="006A5F84" w:rsidRDefault="0047783A">
            <w:pPr>
              <w:jc w:val="both"/>
              <w:rPr>
                <w:b/>
                <w:sz w:val="22"/>
              </w:rPr>
            </w:pPr>
          </w:p>
        </w:tc>
      </w:tr>
      <w:tr w:rsidR="0047783A" w:rsidRPr="006A5F84" w:rsidTr="0047783A">
        <w:trPr>
          <w:cantSplit/>
          <w:trHeight w:val="1121"/>
        </w:trPr>
        <w:tc>
          <w:tcPr>
            <w:tcW w:w="1701" w:type="dxa"/>
          </w:tcPr>
          <w:p w:rsidR="0047783A" w:rsidRPr="006A5F84" w:rsidRDefault="0047783A">
            <w:pPr>
              <w:jc w:val="both"/>
              <w:rPr>
                <w:b/>
                <w:sz w:val="22"/>
              </w:rPr>
            </w:pPr>
            <w:r w:rsidRPr="006A5F84">
              <w:rPr>
                <w:b/>
                <w:sz w:val="22"/>
              </w:rPr>
              <w:t xml:space="preserve">Etc … </w:t>
            </w:r>
          </w:p>
        </w:tc>
        <w:tc>
          <w:tcPr>
            <w:tcW w:w="4678" w:type="dxa"/>
          </w:tcPr>
          <w:p w:rsidR="0047783A" w:rsidRPr="006A5F84" w:rsidRDefault="0047783A">
            <w:pPr>
              <w:jc w:val="both"/>
              <w:rPr>
                <w:b/>
                <w:sz w:val="22"/>
              </w:rPr>
            </w:pPr>
          </w:p>
        </w:tc>
        <w:tc>
          <w:tcPr>
            <w:tcW w:w="1559" w:type="dxa"/>
          </w:tcPr>
          <w:p w:rsidR="0047783A" w:rsidRPr="006A5F84" w:rsidRDefault="0047783A">
            <w:pPr>
              <w:jc w:val="both"/>
              <w:rPr>
                <w:b/>
                <w:sz w:val="22"/>
              </w:rPr>
            </w:pPr>
          </w:p>
        </w:tc>
      </w:tr>
    </w:tbl>
    <w:p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103"/>
      </w:tblGrid>
      <w:tr w:rsidR="0047783A" w:rsidRPr="001F3517" w:rsidTr="001F3517">
        <w:trPr>
          <w:trHeight w:val="563"/>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841"/>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413"/>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431"/>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rsidR="0047783A" w:rsidRPr="001F3517" w:rsidRDefault="0047783A" w:rsidP="001F3517">
            <w:pPr>
              <w:keepNext/>
              <w:tabs>
                <w:tab w:val="left" w:pos="360"/>
              </w:tabs>
              <w:jc w:val="both"/>
              <w:rPr>
                <w:b/>
                <w:sz w:val="24"/>
                <w:szCs w:val="24"/>
              </w:rPr>
            </w:pPr>
          </w:p>
        </w:tc>
      </w:tr>
    </w:tbl>
    <w:p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4"/>
      </w:r>
    </w:p>
    <w:p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5"/>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3686"/>
        <w:gridCol w:w="992"/>
        <w:gridCol w:w="1134"/>
        <w:gridCol w:w="992"/>
        <w:gridCol w:w="993"/>
        <w:gridCol w:w="993"/>
        <w:gridCol w:w="993"/>
      </w:tblGrid>
      <w:tr w:rsidR="00B34C65" w:rsidRPr="006A5F84" w:rsidTr="00D64597">
        <w:tc>
          <w:tcPr>
            <w:tcW w:w="3686" w:type="dxa"/>
            <w:tcBorders>
              <w:bottom w:val="nil"/>
            </w:tcBorders>
            <w:shd w:val="pct5" w:color="auto" w:fill="FFFFFF"/>
          </w:tcPr>
          <w:p w:rsidR="00B34C65" w:rsidRDefault="00B34C65" w:rsidP="003502E9">
            <w:pPr>
              <w:keepNext/>
              <w:keepLines/>
              <w:widowControl w:val="0"/>
              <w:jc w:val="center"/>
              <w:rPr>
                <w:b/>
              </w:rPr>
            </w:pPr>
            <w:r w:rsidRPr="006A5F84">
              <w:rPr>
                <w:b/>
              </w:rPr>
              <w:t>Financial data</w:t>
            </w:r>
          </w:p>
          <w:p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6"/>
            </w:r>
          </w:p>
          <w:p w:rsidR="00B34C65" w:rsidRDefault="006E6CCA" w:rsidP="00B34C65">
            <w:pPr>
              <w:widowControl w:val="0"/>
              <w:spacing w:before="60" w:after="60"/>
              <w:jc w:val="center"/>
              <w:rPr>
                <w:b/>
                <w:sz w:val="22"/>
                <w:szCs w:val="22"/>
              </w:rPr>
            </w:pPr>
            <w:r>
              <w:rPr>
                <w:b/>
                <w:sz w:val="22"/>
                <w:szCs w:val="22"/>
              </w:rPr>
              <w:t>2021</w:t>
            </w:r>
          </w:p>
          <w:p w:rsidR="00B34C65" w:rsidRPr="006A5F84" w:rsidRDefault="00B34C65" w:rsidP="003502E9">
            <w:pPr>
              <w:keepNext/>
              <w:keepLines/>
              <w:widowControl w:val="0"/>
              <w:jc w:val="center"/>
              <w:rPr>
                <w:b/>
              </w:rPr>
            </w:pPr>
          </w:p>
          <w:p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rsidR="00B34C65" w:rsidRDefault="00B34C65" w:rsidP="00B34C65">
            <w:pPr>
              <w:widowControl w:val="0"/>
              <w:spacing w:before="60" w:after="60"/>
              <w:jc w:val="center"/>
              <w:rPr>
                <w:b/>
                <w:sz w:val="22"/>
                <w:szCs w:val="22"/>
              </w:rPr>
            </w:pPr>
            <w:r w:rsidRPr="006A5F84">
              <w:rPr>
                <w:b/>
              </w:rPr>
              <w:t>Year before last year</w:t>
            </w:r>
            <w:r w:rsidRPr="006A5F84">
              <w:rPr>
                <w:b/>
              </w:rPr>
              <w:br/>
            </w:r>
            <w:r w:rsidR="006E6CCA">
              <w:rPr>
                <w:b/>
                <w:sz w:val="22"/>
                <w:szCs w:val="22"/>
              </w:rPr>
              <w:t>2022</w:t>
            </w:r>
          </w:p>
          <w:p w:rsidR="00B34C65" w:rsidRPr="006A5F84" w:rsidRDefault="00B34C65" w:rsidP="003502E9">
            <w:pPr>
              <w:keepNext/>
              <w:keepLines/>
              <w:widowControl w:val="0"/>
              <w:jc w:val="center"/>
              <w:rPr>
                <w:b/>
              </w:rPr>
            </w:pPr>
          </w:p>
          <w:p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rsidR="00B34C65" w:rsidRDefault="00B34C65" w:rsidP="00B34C65">
            <w:pPr>
              <w:widowControl w:val="0"/>
              <w:spacing w:before="60" w:after="60"/>
              <w:jc w:val="center"/>
              <w:rPr>
                <w:b/>
                <w:sz w:val="22"/>
                <w:szCs w:val="22"/>
              </w:rPr>
            </w:pPr>
            <w:r w:rsidRPr="006A5F84">
              <w:rPr>
                <w:b/>
              </w:rPr>
              <w:t>Last year</w:t>
            </w:r>
            <w:r w:rsidRPr="006A5F84">
              <w:rPr>
                <w:b/>
              </w:rPr>
              <w:br/>
            </w:r>
            <w:r w:rsidR="006E6CCA">
              <w:rPr>
                <w:b/>
                <w:sz w:val="22"/>
                <w:szCs w:val="22"/>
              </w:rPr>
              <w:t>2023</w:t>
            </w:r>
          </w:p>
          <w:p w:rsidR="00B34C65" w:rsidRPr="006A5F84" w:rsidRDefault="00B34C65" w:rsidP="0047783A">
            <w:pPr>
              <w:keepNext/>
              <w:keepLines/>
              <w:widowControl w:val="0"/>
              <w:jc w:val="center"/>
              <w:rPr>
                <w:b/>
              </w:rPr>
            </w:pPr>
          </w:p>
          <w:p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7"/>
            </w:r>
            <w:r w:rsidRPr="006A5F84">
              <w:rPr>
                <w:b/>
              </w:rPr>
              <w:br/>
            </w:r>
          </w:p>
          <w:p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rsidR="00B34C65" w:rsidRDefault="00B34C65" w:rsidP="00B34C65">
            <w:pPr>
              <w:widowControl w:val="0"/>
              <w:spacing w:before="60" w:after="60"/>
              <w:jc w:val="center"/>
              <w:rPr>
                <w:b/>
                <w:highlight w:val="lightGray"/>
              </w:rPr>
            </w:pPr>
            <w:r>
              <w:rPr>
                <w:b/>
                <w:highlight w:val="lightGray"/>
              </w:rPr>
              <w:t>[Past year</w:t>
            </w:r>
          </w:p>
          <w:p w:rsidR="00B34C65" w:rsidRPr="006A5F84" w:rsidRDefault="00B34C65" w:rsidP="00D64597">
            <w:pPr>
              <w:widowControl w:val="0"/>
              <w:spacing w:before="60" w:after="60"/>
              <w:jc w:val="center"/>
              <w:rPr>
                <w:b/>
              </w:rPr>
            </w:pPr>
            <w:r>
              <w:rPr>
                <w:b/>
                <w:highlight w:val="lightGray"/>
              </w:rPr>
              <w:t>€]</w:t>
            </w:r>
            <w:r w:rsidRPr="00D64597">
              <w:rPr>
                <w:b/>
              </w:rPr>
              <w:t>**</w:t>
            </w:r>
          </w:p>
        </w:tc>
        <w:tc>
          <w:tcPr>
            <w:tcW w:w="993" w:type="dxa"/>
            <w:tcBorders>
              <w:bottom w:val="nil"/>
            </w:tcBorders>
            <w:shd w:val="pct5" w:color="auto" w:fill="FFFFFF"/>
          </w:tcPr>
          <w:p w:rsidR="00B34C65" w:rsidRDefault="00B34C65" w:rsidP="003502E9">
            <w:pPr>
              <w:keepNext/>
              <w:keepLines/>
              <w:widowControl w:val="0"/>
              <w:jc w:val="center"/>
              <w:rPr>
                <w:b/>
                <w:highlight w:val="lightGray"/>
              </w:rPr>
            </w:pPr>
            <w:r>
              <w:rPr>
                <w:b/>
                <w:sz w:val="22"/>
                <w:szCs w:val="22"/>
                <w:highlight w:val="lightGray"/>
              </w:rPr>
              <w:t xml:space="preserve">[Current </w:t>
            </w:r>
            <w:r>
              <w:rPr>
                <w:b/>
                <w:highlight w:val="lightGray"/>
              </w:rPr>
              <w:t>year</w:t>
            </w:r>
            <w:r>
              <w:rPr>
                <w:b/>
                <w:highlight w:val="lightGray"/>
              </w:rPr>
              <w:br/>
            </w:r>
          </w:p>
          <w:p w:rsidR="00B34C65" w:rsidRPr="006A5F84" w:rsidRDefault="00B34C65" w:rsidP="003502E9">
            <w:pPr>
              <w:keepNext/>
              <w:keepLines/>
              <w:widowControl w:val="0"/>
              <w:jc w:val="center"/>
              <w:rPr>
                <w:b/>
              </w:rPr>
            </w:pPr>
            <w:r>
              <w:rPr>
                <w:b/>
                <w:highlight w:val="lightGray"/>
              </w:rPr>
              <w:t>€]</w:t>
            </w:r>
            <w:r>
              <w:rPr>
                <w:b/>
              </w:rPr>
              <w:t>**</w:t>
            </w:r>
          </w:p>
        </w:tc>
      </w:tr>
      <w:tr w:rsidR="00B34C65" w:rsidRPr="006A5F84" w:rsidTr="00D64597">
        <w:trPr>
          <w:cantSplit/>
        </w:trPr>
        <w:tc>
          <w:tcPr>
            <w:tcW w:w="3686" w:type="dxa"/>
            <w:tcBorders>
              <w:top w:val="single" w:sz="6" w:space="0" w:color="auto"/>
              <w:bottom w:val="double" w:sz="4" w:space="0" w:color="auto"/>
            </w:tcBorders>
          </w:tcPr>
          <w:p w:rsidR="00B34C65" w:rsidRPr="006A5F84" w:rsidRDefault="00B34C65" w:rsidP="00773081">
            <w:pPr>
              <w:keepNext/>
              <w:keepLines/>
              <w:widowControl w:val="0"/>
            </w:pPr>
            <w:r w:rsidRPr="006A5F84">
              <w:t>Annual turnover</w:t>
            </w:r>
            <w:r w:rsidRPr="006A5F84">
              <w:rPr>
                <w:rStyle w:val="FootnoteReference"/>
              </w:rPr>
              <w:footnoteReference w:id="8"/>
            </w:r>
            <w:r w:rsidRPr="006A5F84">
              <w:t>, excluding this contract</w:t>
            </w:r>
          </w:p>
        </w:tc>
        <w:tc>
          <w:tcPr>
            <w:tcW w:w="992" w:type="dxa"/>
            <w:tcBorders>
              <w:top w:val="single" w:sz="6" w:space="0" w:color="auto"/>
              <w:bottom w:val="double" w:sz="4" w:space="0" w:color="auto"/>
            </w:tcBorders>
          </w:tcPr>
          <w:p w:rsidR="00B34C65" w:rsidRPr="006A5F84" w:rsidRDefault="00B34C65" w:rsidP="003502E9">
            <w:pPr>
              <w:keepNext/>
              <w:keepLines/>
              <w:widowControl w:val="0"/>
            </w:pPr>
          </w:p>
        </w:tc>
        <w:tc>
          <w:tcPr>
            <w:tcW w:w="1134" w:type="dxa"/>
            <w:tcBorders>
              <w:top w:val="single" w:sz="6" w:space="0" w:color="auto"/>
              <w:bottom w:val="double" w:sz="4" w:space="0" w:color="auto"/>
            </w:tcBorders>
          </w:tcPr>
          <w:p w:rsidR="00B34C65" w:rsidRPr="006A5F84" w:rsidRDefault="00B34C65" w:rsidP="003502E9">
            <w:pPr>
              <w:keepNext/>
              <w:keepLines/>
              <w:widowControl w:val="0"/>
            </w:pPr>
          </w:p>
        </w:tc>
        <w:tc>
          <w:tcPr>
            <w:tcW w:w="992"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r>
      <w:tr w:rsidR="00B34C65" w:rsidRPr="006A5F84" w:rsidTr="00D64597">
        <w:trPr>
          <w:cantSplit/>
        </w:trPr>
        <w:tc>
          <w:tcPr>
            <w:tcW w:w="3686" w:type="dxa"/>
            <w:tcBorders>
              <w:top w:val="nil"/>
            </w:tcBorders>
          </w:tcPr>
          <w:p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9"/>
            </w:r>
          </w:p>
        </w:tc>
        <w:tc>
          <w:tcPr>
            <w:tcW w:w="992" w:type="dxa"/>
            <w:tcBorders>
              <w:top w:val="nil"/>
              <w:bottom w:val="single" w:sz="6" w:space="0" w:color="auto"/>
            </w:tcBorders>
          </w:tcPr>
          <w:p w:rsidR="00B34C65" w:rsidRPr="006A5F84" w:rsidRDefault="00B34C65" w:rsidP="003502E9">
            <w:pPr>
              <w:keepNext/>
              <w:keepLines/>
              <w:widowControl w:val="0"/>
            </w:pPr>
          </w:p>
        </w:tc>
        <w:tc>
          <w:tcPr>
            <w:tcW w:w="1134" w:type="dxa"/>
            <w:tcBorders>
              <w:top w:val="nil"/>
              <w:bottom w:val="single" w:sz="6" w:space="0" w:color="auto"/>
            </w:tcBorders>
          </w:tcPr>
          <w:p w:rsidR="00B34C65" w:rsidRPr="006A5F84" w:rsidRDefault="00B34C65" w:rsidP="003502E9">
            <w:pPr>
              <w:keepNext/>
              <w:keepLines/>
              <w:widowControl w:val="0"/>
            </w:pPr>
          </w:p>
        </w:tc>
        <w:tc>
          <w:tcPr>
            <w:tcW w:w="992"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r>
      <w:tr w:rsidR="00B34C65" w:rsidRPr="006A5F84" w:rsidTr="00D64597">
        <w:trPr>
          <w:cantSplit/>
        </w:trPr>
        <w:tc>
          <w:tcPr>
            <w:tcW w:w="3686" w:type="dxa"/>
          </w:tcPr>
          <w:p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10"/>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r>
      <w:tr w:rsidR="00B34C65" w:rsidRPr="006A5F84" w:rsidTr="00D64597">
        <w:trPr>
          <w:cantSplit/>
        </w:trPr>
        <w:tc>
          <w:tcPr>
            <w:tcW w:w="3686" w:type="dxa"/>
          </w:tcPr>
          <w:p w:rsidR="00B34C65" w:rsidRPr="00CE4D8F" w:rsidRDefault="00B34C65" w:rsidP="003502E9">
            <w:pPr>
              <w:keepNext/>
              <w:keepLines/>
              <w:widowControl w:val="0"/>
              <w:rPr>
                <w:lang w:val="fr-BE"/>
              </w:rPr>
            </w:pPr>
            <w:r w:rsidRPr="004F0604">
              <w:rPr>
                <w:lang w:val="fr-BE"/>
              </w:rPr>
              <w:t>[Current ratio (current assets/current liabilities)</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4F0604">
              <w:t>Not applicable</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vAlign w:val="center"/>
          </w:tcPr>
          <w:p w:rsidR="00B34C65" w:rsidRPr="006A5F84" w:rsidRDefault="00B34C65" w:rsidP="003502E9">
            <w:pPr>
              <w:keepNext/>
              <w:keepLines/>
              <w:widowControl w:val="0"/>
            </w:pPr>
            <w:r w:rsidRPr="004F0604">
              <w:t>Not applicable</w:t>
            </w: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4F0604">
              <w:t>Not applicable]</w:t>
            </w:r>
          </w:p>
        </w:tc>
      </w:tr>
    </w:tbl>
    <w:p w:rsidR="00D64597" w:rsidRDefault="00D64597" w:rsidP="0047783A">
      <w:pPr>
        <w:keepNext/>
        <w:tabs>
          <w:tab w:val="left" w:pos="360"/>
        </w:tabs>
        <w:spacing w:before="360"/>
        <w:jc w:val="both"/>
        <w:rPr>
          <w:b/>
          <w:sz w:val="28"/>
          <w:szCs w:val="28"/>
        </w:rPr>
        <w:sectPr w:rsidR="00D64597" w:rsidSect="00FA4292">
          <w:headerReference w:type="default" r:id="rId11"/>
          <w:footerReference w:type="even" r:id="rId12"/>
          <w:footerReference w:type="default" r:id="rId13"/>
          <w:footerReference w:type="first" r:id="rId14"/>
          <w:pgSz w:w="11906" w:h="16838"/>
          <w:pgMar w:top="1134" w:right="1418" w:bottom="1134" w:left="1134" w:header="720" w:footer="720" w:gutter="0"/>
          <w:cols w:space="720"/>
        </w:sectPr>
      </w:pPr>
    </w:p>
    <w:p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1"/>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623"/>
        <w:gridCol w:w="1639"/>
        <w:gridCol w:w="1640"/>
        <w:gridCol w:w="1641"/>
        <w:gridCol w:w="1639"/>
        <w:gridCol w:w="1639"/>
        <w:gridCol w:w="1641"/>
        <w:gridCol w:w="1639"/>
        <w:gridCol w:w="1641"/>
      </w:tblGrid>
      <w:tr w:rsidR="00374C87" w:rsidRPr="006A5F84" w:rsidTr="00D64597">
        <w:trPr>
          <w:cantSplit/>
          <w:trHeight w:val="297"/>
        </w:trPr>
        <w:tc>
          <w:tcPr>
            <w:tcW w:w="1623" w:type="dxa"/>
            <w:shd w:val="pct5" w:color="auto" w:fill="FFFFFF"/>
          </w:tcPr>
          <w:p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rsidTr="00D64597">
        <w:trPr>
          <w:cantSplit/>
          <w:trHeight w:val="297"/>
        </w:trPr>
        <w:tc>
          <w:tcPr>
            <w:tcW w:w="1623" w:type="dxa"/>
            <w:shd w:val="pct5" w:color="auto" w:fill="FFFFFF"/>
          </w:tcPr>
          <w:p w:rsidR="00374C87" w:rsidRPr="006A5F84" w:rsidRDefault="00374C87" w:rsidP="003502E9">
            <w:pPr>
              <w:keepNext/>
              <w:keepLines/>
              <w:widowControl w:val="0"/>
              <w:jc w:val="center"/>
              <w:rPr>
                <w:b/>
              </w:rPr>
            </w:pPr>
          </w:p>
        </w:tc>
        <w:tc>
          <w:tcPr>
            <w:tcW w:w="1639" w:type="dxa"/>
            <w:shd w:val="pct5" w:color="auto" w:fill="FFFFFF"/>
          </w:tcPr>
          <w:p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2"/>
            </w:r>
          </w:p>
        </w:tc>
        <w:tc>
          <w:tcPr>
            <w:tcW w:w="1641" w:type="dxa"/>
            <w:shd w:val="pct5" w:color="auto" w:fill="FFFFFF"/>
          </w:tcPr>
          <w:p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rsidTr="00D64597">
        <w:trPr>
          <w:cantSplit/>
          <w:trHeight w:val="727"/>
        </w:trPr>
        <w:tc>
          <w:tcPr>
            <w:tcW w:w="1623" w:type="dxa"/>
            <w:tcBorders>
              <w:bottom w:val="nil"/>
            </w:tcBorders>
          </w:tcPr>
          <w:p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3"/>
            </w:r>
          </w:p>
        </w:tc>
        <w:tc>
          <w:tcPr>
            <w:tcW w:w="1639" w:type="dxa"/>
            <w:tcBorders>
              <w:bottom w:val="nil"/>
            </w:tcBorders>
          </w:tcPr>
          <w:p w:rsidR="00374C87" w:rsidRPr="006A5F84" w:rsidRDefault="00374C87" w:rsidP="003502E9">
            <w:pPr>
              <w:keepLines/>
              <w:widowControl w:val="0"/>
              <w:jc w:val="center"/>
            </w:pPr>
          </w:p>
        </w:tc>
        <w:tc>
          <w:tcPr>
            <w:tcW w:w="1640"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3280" w:type="dxa"/>
            <w:gridSpan w:val="2"/>
            <w:tcBorders>
              <w:bottom w:val="nil"/>
            </w:tcBorders>
          </w:tcPr>
          <w:p w:rsidR="00374C87" w:rsidRPr="006A5F84" w:rsidRDefault="00374C87" w:rsidP="003502E9">
            <w:pPr>
              <w:keepLines/>
              <w:widowControl w:val="0"/>
              <w:jc w:val="center"/>
            </w:pPr>
          </w:p>
        </w:tc>
      </w:tr>
      <w:tr w:rsidR="00374C87" w:rsidRPr="006A5F84" w:rsidTr="00D64597">
        <w:trPr>
          <w:cantSplit/>
          <w:trHeight w:val="480"/>
        </w:trPr>
        <w:tc>
          <w:tcPr>
            <w:tcW w:w="1623" w:type="dxa"/>
          </w:tcPr>
          <w:p w:rsidR="00374C87" w:rsidRPr="006A5F84" w:rsidRDefault="00374C87" w:rsidP="002E61B7">
            <w:pPr>
              <w:keepLines/>
              <w:widowControl w:val="0"/>
            </w:pPr>
            <w:r w:rsidRPr="006A5F84">
              <w:t xml:space="preserve">Other </w:t>
            </w:r>
            <w:r w:rsidR="002E61B7">
              <w:t>personnel</w:t>
            </w:r>
            <w:r w:rsidRPr="006A5F84">
              <w:rPr>
                <w:rStyle w:val="FootnoteReference"/>
              </w:rPr>
              <w:footnoteReference w:id="14"/>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495"/>
        </w:trPr>
        <w:tc>
          <w:tcPr>
            <w:tcW w:w="1623" w:type="dxa"/>
          </w:tcPr>
          <w:p w:rsidR="00374C87" w:rsidRPr="006A5F84" w:rsidRDefault="00374C87" w:rsidP="003502E9">
            <w:pPr>
              <w:keepLines/>
              <w:widowControl w:val="0"/>
            </w:pPr>
            <w:r w:rsidRPr="006A5F84">
              <w:t>Total</w:t>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1191"/>
        </w:trPr>
        <w:tc>
          <w:tcPr>
            <w:tcW w:w="1623" w:type="dxa"/>
          </w:tcPr>
          <w:p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rsidR="00374C87" w:rsidRPr="006A5F84" w:rsidRDefault="00374C87" w:rsidP="003502E9">
            <w:pPr>
              <w:keepLines/>
              <w:widowControl w:val="0"/>
              <w:jc w:val="center"/>
            </w:pPr>
            <w:r w:rsidRPr="006A5F84">
              <w:t>%</w:t>
            </w:r>
          </w:p>
        </w:tc>
        <w:tc>
          <w:tcPr>
            <w:tcW w:w="1640"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3280" w:type="dxa"/>
            <w:gridSpan w:val="2"/>
          </w:tcPr>
          <w:p w:rsidR="00374C87" w:rsidRPr="006A5F84" w:rsidRDefault="0025230D" w:rsidP="003502E9">
            <w:pPr>
              <w:keepLines/>
              <w:widowControl w:val="0"/>
              <w:jc w:val="center"/>
            </w:pPr>
            <w:r>
              <w:t xml:space="preserve">%               </w:t>
            </w:r>
            <w:r w:rsidR="00EB0DA5">
              <w:t>%</w:t>
            </w:r>
          </w:p>
        </w:tc>
      </w:tr>
      <w:tr w:rsidR="0025230D" w:rsidRPr="006A5F84" w:rsidTr="00D64597">
        <w:trPr>
          <w:cantSplit/>
          <w:trHeight w:val="480"/>
        </w:trPr>
        <w:tc>
          <w:tcPr>
            <w:tcW w:w="1623" w:type="dxa"/>
          </w:tcPr>
          <w:p w:rsidR="0025230D" w:rsidRPr="006A5F84" w:rsidRDefault="0025230D" w:rsidP="003502E9">
            <w:pPr>
              <w:pStyle w:val="FootnoteText"/>
              <w:keepLines/>
              <w:widowControl w:val="0"/>
              <w:rPr>
                <w:lang w:val="en-GB"/>
              </w:rPr>
            </w:pPr>
          </w:p>
        </w:tc>
        <w:tc>
          <w:tcPr>
            <w:tcW w:w="1639" w:type="dxa"/>
          </w:tcPr>
          <w:p w:rsidR="0025230D" w:rsidRPr="006A5F84" w:rsidRDefault="0025230D" w:rsidP="003502E9">
            <w:pPr>
              <w:keepLines/>
              <w:widowControl w:val="0"/>
              <w:jc w:val="center"/>
            </w:pPr>
          </w:p>
        </w:tc>
        <w:tc>
          <w:tcPr>
            <w:tcW w:w="1640"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3280" w:type="dxa"/>
            <w:gridSpan w:val="2"/>
          </w:tcPr>
          <w:p w:rsidR="0025230D" w:rsidRDefault="0025230D" w:rsidP="003502E9">
            <w:pPr>
              <w:keepLines/>
              <w:widowControl w:val="0"/>
              <w:jc w:val="center"/>
            </w:pPr>
          </w:p>
        </w:tc>
      </w:tr>
    </w:tbl>
    <w:p w:rsidR="0047783A" w:rsidRPr="006A5F84" w:rsidRDefault="0047783A" w:rsidP="0047783A"/>
    <w:p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35"/>
        <w:gridCol w:w="2748"/>
        <w:gridCol w:w="2748"/>
        <w:gridCol w:w="2748"/>
        <w:gridCol w:w="2748"/>
      </w:tblGrid>
      <w:tr w:rsidR="0047783A" w:rsidRPr="006A5F84" w:rsidTr="00D64597">
        <w:trPr>
          <w:trHeight w:val="538"/>
        </w:trPr>
        <w:tc>
          <w:tcPr>
            <w:tcW w:w="3435" w:type="dxa"/>
          </w:tcPr>
          <w:p w:rsidR="0047783A" w:rsidRPr="006A5F84" w:rsidRDefault="0047783A" w:rsidP="003502E9">
            <w:pPr>
              <w:keepNext/>
              <w:keepLines/>
              <w:widowControl w:val="0"/>
              <w:jc w:val="both"/>
            </w:pPr>
          </w:p>
        </w:tc>
        <w:tc>
          <w:tcPr>
            <w:tcW w:w="2748" w:type="dxa"/>
            <w:shd w:val="pct5" w:color="auto" w:fill="FFFFFF"/>
          </w:tcPr>
          <w:p w:rsidR="0047783A" w:rsidRPr="006A5F84" w:rsidRDefault="0047783A" w:rsidP="003502E9">
            <w:pPr>
              <w:keepNext/>
              <w:keepLines/>
              <w:jc w:val="center"/>
            </w:pPr>
            <w:r w:rsidRPr="006A5F84">
              <w:t>Leader</w:t>
            </w:r>
          </w:p>
        </w:tc>
        <w:tc>
          <w:tcPr>
            <w:tcW w:w="2748" w:type="dxa"/>
            <w:shd w:val="pct5" w:color="auto" w:fill="FFFFFF"/>
          </w:tcPr>
          <w:p w:rsidR="0047783A" w:rsidRPr="006A5F84" w:rsidRDefault="0047783A" w:rsidP="003502E9">
            <w:pPr>
              <w:keepNext/>
              <w:keepLines/>
              <w:jc w:val="center"/>
            </w:pPr>
            <w:r w:rsidRPr="006A5F84">
              <w:t>Member 2</w:t>
            </w:r>
          </w:p>
        </w:tc>
        <w:tc>
          <w:tcPr>
            <w:tcW w:w="2748" w:type="dxa"/>
            <w:shd w:val="pct5" w:color="auto" w:fill="FFFFFF"/>
          </w:tcPr>
          <w:p w:rsidR="0047783A" w:rsidRPr="006A5F84" w:rsidRDefault="0047783A" w:rsidP="003502E9">
            <w:pPr>
              <w:keepNext/>
              <w:keepLines/>
              <w:jc w:val="center"/>
            </w:pPr>
            <w:r w:rsidRPr="006A5F84">
              <w:t>Member 3</w:t>
            </w:r>
          </w:p>
        </w:tc>
        <w:tc>
          <w:tcPr>
            <w:tcW w:w="2748" w:type="dxa"/>
            <w:shd w:val="pct5" w:color="auto" w:fill="FFFFFF"/>
          </w:tcPr>
          <w:p w:rsidR="0047783A" w:rsidRPr="006A5F84" w:rsidRDefault="0047783A" w:rsidP="003502E9">
            <w:pPr>
              <w:keepNext/>
              <w:keepLines/>
              <w:widowControl w:val="0"/>
              <w:jc w:val="center"/>
            </w:pPr>
            <w:r w:rsidRPr="006A5F84">
              <w:t>Etc …</w:t>
            </w: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Relevant specialism 1</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Relevant specialism 2</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38"/>
        </w:trPr>
        <w:tc>
          <w:tcPr>
            <w:tcW w:w="3435" w:type="dxa"/>
          </w:tcPr>
          <w:p w:rsidR="0047783A" w:rsidRPr="006A5F84" w:rsidRDefault="0047783A" w:rsidP="003502E9">
            <w:pPr>
              <w:keepNext/>
              <w:keepLines/>
              <w:widowControl w:val="0"/>
              <w:jc w:val="both"/>
            </w:pPr>
            <w:r w:rsidRPr="006A5F84">
              <w:t>Etc …</w:t>
            </w:r>
            <w:r w:rsidRPr="006A5F84">
              <w:rPr>
                <w:rStyle w:val="FootnoteReference"/>
              </w:rPr>
              <w:footnoteReference w:id="15"/>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bl>
    <w:p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Pr>
          <w:sz w:val="22"/>
          <w:szCs w:val="22"/>
          <w:highlight w:val="lightGray"/>
        </w:rPr>
        <w:t>3</w:t>
      </w:r>
      <w:r w:rsidRPr="006A5F84">
        <w:rPr>
          <w:sz w:val="22"/>
          <w:szCs w:val="22"/>
        </w:rPr>
        <w:t>years</w:t>
      </w:r>
      <w:r w:rsidRPr="006A5F84">
        <w:rPr>
          <w:rStyle w:val="FootnoteReference"/>
          <w:sz w:val="22"/>
          <w:szCs w:val="22"/>
        </w:rPr>
        <w:footnoteReference w:id="16"/>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418"/>
        <w:gridCol w:w="1418"/>
        <w:gridCol w:w="1559"/>
        <w:gridCol w:w="1276"/>
        <w:gridCol w:w="1418"/>
        <w:gridCol w:w="1418"/>
        <w:gridCol w:w="1418"/>
        <w:gridCol w:w="1986"/>
      </w:tblGrid>
      <w:tr w:rsidR="0047783A" w:rsidRPr="006A5F84">
        <w:trPr>
          <w:cantSplit/>
        </w:trPr>
        <w:tc>
          <w:tcPr>
            <w:tcW w:w="2268" w:type="dxa"/>
            <w:shd w:val="pct15" w:color="auto" w:fill="FFFFFF"/>
          </w:tcPr>
          <w:p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rsidR="0047783A" w:rsidRPr="006A5F84" w:rsidRDefault="0047783A" w:rsidP="003502E9">
            <w:pPr>
              <w:keepNext/>
              <w:keepLines/>
              <w:widowControl w:val="0"/>
              <w:jc w:val="center"/>
              <w:rPr>
                <w:b/>
              </w:rPr>
            </w:pPr>
            <w:r w:rsidRPr="006A5F84">
              <w:rPr>
                <w:b/>
              </w:rPr>
              <w:t>Project title</w:t>
            </w:r>
          </w:p>
        </w:tc>
        <w:tc>
          <w:tcPr>
            <w:tcW w:w="9075" w:type="dxa"/>
            <w:gridSpan w:val="6"/>
          </w:tcPr>
          <w:p w:rsidR="0047783A" w:rsidRPr="006A5F84" w:rsidRDefault="0047783A" w:rsidP="003502E9">
            <w:pPr>
              <w:keepNext/>
              <w:keepLines/>
              <w:widowControl w:val="0"/>
            </w:pPr>
            <w:r w:rsidRPr="006A5F84">
              <w:t>…</w:t>
            </w:r>
          </w:p>
        </w:tc>
      </w:tr>
      <w:tr w:rsidR="0047783A" w:rsidRPr="006A5F84">
        <w:trPr>
          <w:cantSplit/>
        </w:trPr>
        <w:tc>
          <w:tcPr>
            <w:tcW w:w="2268" w:type="dxa"/>
            <w:shd w:val="pct5" w:color="auto" w:fill="FFFFFF"/>
          </w:tcPr>
          <w:p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7"/>
            </w:r>
          </w:p>
        </w:tc>
        <w:tc>
          <w:tcPr>
            <w:tcW w:w="1559" w:type="dxa"/>
            <w:shd w:val="pct5" w:color="auto" w:fill="FFFFFF"/>
          </w:tcPr>
          <w:p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rsidR="0047783A" w:rsidRPr="006A5F84" w:rsidRDefault="0047783A" w:rsidP="003502E9">
            <w:pPr>
              <w:keepNext/>
              <w:keepLines/>
              <w:widowControl w:val="0"/>
              <w:jc w:val="center"/>
              <w:rPr>
                <w:b/>
              </w:rPr>
            </w:pPr>
            <w:r w:rsidRPr="006A5F84">
              <w:rPr>
                <w:b/>
              </w:rPr>
              <w:t>Name of members if any</w:t>
            </w:r>
          </w:p>
        </w:tc>
      </w:tr>
      <w:tr w:rsidR="0047783A" w:rsidRPr="006A5F84">
        <w:trPr>
          <w:cantSplit/>
        </w:trPr>
        <w:tc>
          <w:tcPr>
            <w:tcW w:w="226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559" w:type="dxa"/>
            <w:tcBorders>
              <w:bottom w:val="nil"/>
            </w:tcBorders>
          </w:tcPr>
          <w:p w:rsidR="0047783A" w:rsidRPr="006A5F84" w:rsidRDefault="0047783A" w:rsidP="003502E9">
            <w:pPr>
              <w:keepNext/>
              <w:keepLines/>
              <w:widowControl w:val="0"/>
            </w:pPr>
            <w:r w:rsidRPr="006A5F84">
              <w:t>…</w:t>
            </w:r>
          </w:p>
        </w:tc>
        <w:tc>
          <w:tcPr>
            <w:tcW w:w="1276"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986" w:type="dxa"/>
            <w:tcBorders>
              <w:bottom w:val="nil"/>
            </w:tcBorders>
          </w:tcPr>
          <w:p w:rsidR="0047783A" w:rsidRPr="006A5F84" w:rsidRDefault="0047783A" w:rsidP="003502E9">
            <w:pPr>
              <w:keepNext/>
              <w:keepLines/>
              <w:widowControl w:val="0"/>
            </w:pPr>
            <w:r w:rsidRPr="006A5F84">
              <w:t>…</w:t>
            </w:r>
          </w:p>
        </w:tc>
      </w:tr>
      <w:tr w:rsidR="0047783A" w:rsidRPr="006A5F84">
        <w:trPr>
          <w:cantSplit/>
        </w:trPr>
        <w:tc>
          <w:tcPr>
            <w:tcW w:w="9357" w:type="dxa"/>
            <w:gridSpan w:val="6"/>
            <w:shd w:val="pct5" w:color="auto" w:fill="FFFFFF"/>
          </w:tcPr>
          <w:p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rsidR="0047783A" w:rsidRPr="006A5F84" w:rsidRDefault="0047783A" w:rsidP="003502E9">
            <w:pPr>
              <w:keepNext/>
              <w:keepLines/>
              <w:widowControl w:val="0"/>
              <w:jc w:val="center"/>
              <w:rPr>
                <w:b/>
              </w:rPr>
            </w:pPr>
            <w:r w:rsidRPr="006A5F84">
              <w:rPr>
                <w:b/>
              </w:rPr>
              <w:t>Related services provided</w:t>
            </w:r>
          </w:p>
        </w:tc>
      </w:tr>
      <w:tr w:rsidR="0047783A" w:rsidRPr="006A5F84" w:rsidTr="004C51DD">
        <w:trPr>
          <w:cantSplit/>
        </w:trPr>
        <w:tc>
          <w:tcPr>
            <w:tcW w:w="9357" w:type="dxa"/>
            <w:gridSpan w:val="6"/>
            <w:tcBorders>
              <w:top w:val="nil"/>
              <w:bottom w:val="nil"/>
            </w:tcBorders>
          </w:tcPr>
          <w:p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rsidR="0047783A" w:rsidRPr="006A5F84" w:rsidRDefault="0047783A" w:rsidP="003502E9">
            <w:pPr>
              <w:keepNext/>
              <w:keepLines/>
              <w:widowControl w:val="0"/>
              <w:rPr>
                <w:sz w:val="18"/>
              </w:rPr>
            </w:pPr>
            <w:r w:rsidRPr="006A5F84">
              <w:rPr>
                <w:sz w:val="18"/>
              </w:rPr>
              <w:t>…</w:t>
            </w:r>
          </w:p>
        </w:tc>
      </w:tr>
      <w:tr w:rsidR="004C51DD" w:rsidRPr="006A5F84">
        <w:trPr>
          <w:cantSplit/>
        </w:trPr>
        <w:tc>
          <w:tcPr>
            <w:tcW w:w="9357" w:type="dxa"/>
            <w:gridSpan w:val="6"/>
            <w:tcBorders>
              <w:top w:val="nil"/>
            </w:tcBorders>
          </w:tcPr>
          <w:p w:rsidR="004C51DD" w:rsidRPr="006A5F84" w:rsidRDefault="004C51DD" w:rsidP="003502E9">
            <w:pPr>
              <w:keepNext/>
              <w:keepLines/>
              <w:widowControl w:val="0"/>
              <w:rPr>
                <w:sz w:val="18"/>
              </w:rPr>
            </w:pPr>
          </w:p>
        </w:tc>
        <w:tc>
          <w:tcPr>
            <w:tcW w:w="4822" w:type="dxa"/>
            <w:gridSpan w:val="3"/>
            <w:tcBorders>
              <w:top w:val="nil"/>
            </w:tcBorders>
          </w:tcPr>
          <w:p w:rsidR="004C51DD" w:rsidRPr="006A5F84" w:rsidRDefault="004C51DD" w:rsidP="003502E9">
            <w:pPr>
              <w:keepNext/>
              <w:keepLines/>
              <w:widowControl w:val="0"/>
              <w:rPr>
                <w:sz w:val="18"/>
              </w:rPr>
            </w:pPr>
          </w:p>
        </w:tc>
      </w:tr>
    </w:tbl>
    <w:p w:rsidR="0047783A" w:rsidRPr="006A5F84" w:rsidRDefault="0047783A" w:rsidP="0047783A">
      <w:pPr>
        <w:keepNext/>
        <w:ind w:left="709" w:hanging="709"/>
        <w:jc w:val="both"/>
        <w:outlineLvl w:val="0"/>
        <w:rPr>
          <w:sz w:val="28"/>
        </w:rPr>
        <w:sectPr w:rsidR="0047783A" w:rsidRPr="006A5F84" w:rsidSect="00D64597">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134" w:bottom="1418" w:left="1134" w:header="720" w:footer="720" w:gutter="567"/>
          <w:cols w:space="720"/>
          <w:titlePg/>
        </w:sectPr>
      </w:pPr>
    </w:p>
    <w:p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rsidR="0047783A" w:rsidRPr="006A5F84" w:rsidRDefault="0047783A" w:rsidP="0047783A">
      <w:pPr>
        <w:ind w:left="709"/>
        <w:jc w:val="both"/>
        <w:rPr>
          <w:sz w:val="22"/>
          <w:szCs w:val="22"/>
        </w:rPr>
      </w:pPr>
      <w:r w:rsidRPr="006A5F84">
        <w:rPr>
          <w:sz w:val="22"/>
          <w:szCs w:val="22"/>
        </w:rPr>
        <w:t>we, the undersigned, hereby declare that:</w:t>
      </w:r>
    </w:p>
    <w:p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rsidR="0047783A"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Pr>
          <w:sz w:val="22"/>
          <w:szCs w:val="22"/>
          <w:highlight w:val="lightGray"/>
        </w:rPr>
        <w:t>We offer to deliver, in accordance with the terms of the tender dossier and the conditions and time limits laid down, without reserve or restriction:</w:t>
      </w:r>
    </w:p>
    <w:p w:rsidR="0047783A" w:rsidRPr="008431A6" w:rsidRDefault="0047783A" w:rsidP="0047783A">
      <w:pPr>
        <w:ind w:left="709"/>
        <w:jc w:val="both"/>
        <w:rPr>
          <w:sz w:val="22"/>
          <w:szCs w:val="22"/>
        </w:rPr>
      </w:pPr>
      <w:r>
        <w:rPr>
          <w:sz w:val="22"/>
          <w:szCs w:val="22"/>
          <w:highlight w:val="lightGray"/>
        </w:rPr>
        <w:t>Lot 1:</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47783A" w:rsidRDefault="0047783A" w:rsidP="0047783A">
      <w:pPr>
        <w:ind w:left="709"/>
        <w:jc w:val="both"/>
        <w:rPr>
          <w:b/>
          <w:sz w:val="22"/>
          <w:szCs w:val="22"/>
        </w:rPr>
      </w:pPr>
      <w:r>
        <w:rPr>
          <w:sz w:val="22"/>
          <w:szCs w:val="22"/>
          <w:highlight w:val="lightGray"/>
        </w:rPr>
        <w:t>Lot 2:</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657CEF" w:rsidRDefault="00657CEF" w:rsidP="0047783A">
      <w:pPr>
        <w:ind w:left="709"/>
        <w:jc w:val="both"/>
        <w:rPr>
          <w:b/>
          <w:sz w:val="22"/>
          <w:szCs w:val="22"/>
        </w:rPr>
      </w:pPr>
    </w:p>
    <w:p w:rsidR="00657CEF" w:rsidRDefault="00657CEF" w:rsidP="004F0604">
      <w:pPr>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Pr="006543B2">
        <w:rPr>
          <w:sz w:val="22"/>
          <w:szCs w:val="22"/>
          <w:highlight w:val="yellow"/>
        </w:rPr>
        <w:t>]</w:t>
      </w:r>
      <w:r>
        <w:rPr>
          <w:sz w:val="22"/>
          <w:szCs w:val="22"/>
          <w:highlight w:val="lightGray"/>
        </w:rPr>
        <w:t>We offer to deliver, in accordance with the terms of the tender dossier and the conditions and time limits laid down, without reserve or restriction:</w:t>
      </w:r>
    </w:p>
    <w:p w:rsidR="00657CEF" w:rsidRPr="008431A6" w:rsidRDefault="00657CEF" w:rsidP="00657CEF">
      <w:pPr>
        <w:ind w:left="709"/>
        <w:jc w:val="both"/>
        <w:rPr>
          <w:sz w:val="22"/>
          <w:szCs w:val="22"/>
        </w:rPr>
      </w:pPr>
      <w:r>
        <w:rPr>
          <w:sz w:val="22"/>
          <w:szCs w:val="22"/>
          <w:highlight w:val="lightGray"/>
        </w:rPr>
        <w:t>Lot 1:</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rsidR="00657CEF" w:rsidRDefault="00657CEF" w:rsidP="00657CEF">
      <w:pPr>
        <w:ind w:left="709"/>
        <w:jc w:val="both"/>
        <w:rPr>
          <w:b/>
          <w:sz w:val="22"/>
          <w:szCs w:val="22"/>
        </w:rPr>
      </w:pPr>
      <w:r>
        <w:rPr>
          <w:sz w:val="22"/>
          <w:szCs w:val="22"/>
          <w:highlight w:val="lightGray"/>
        </w:rPr>
        <w:t>Lot 2:</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rsidR="00657CEF" w:rsidRPr="008431A6" w:rsidRDefault="00657CEF" w:rsidP="0047783A">
      <w:pPr>
        <w:ind w:left="709"/>
        <w:jc w:val="both"/>
        <w:rPr>
          <w:sz w:val="22"/>
          <w:szCs w:val="22"/>
        </w:rPr>
      </w:pPr>
    </w:p>
    <w:p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Pr>
          <w:sz w:val="22"/>
          <w:szCs w:val="22"/>
          <w:highlight w:val="lightGray"/>
        </w:rPr>
        <w:t xml:space="preserve">[in the event of our being awarded </w:t>
      </w:r>
      <w:r w:rsidR="00B253B3">
        <w:rPr>
          <w:sz w:val="22"/>
          <w:szCs w:val="22"/>
          <w:highlight w:val="lightGray"/>
        </w:rPr>
        <w:t>l</w:t>
      </w:r>
      <w:r>
        <w:rPr>
          <w:sz w:val="22"/>
          <w:szCs w:val="22"/>
          <w:highlight w:val="lightGray"/>
        </w:rPr>
        <w:t xml:space="preserve">ot … and </w:t>
      </w:r>
      <w:r w:rsidR="00B253B3">
        <w:rPr>
          <w:sz w:val="22"/>
          <w:szCs w:val="22"/>
          <w:highlight w:val="lightGray"/>
        </w:rPr>
        <w:t>l</w:t>
      </w:r>
      <w:r>
        <w:rPr>
          <w:sz w:val="22"/>
          <w:szCs w:val="22"/>
          <w:highlight w:val="lightGray"/>
        </w:rPr>
        <w:t>ot … ………].</w:t>
      </w:r>
    </w:p>
    <w:p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rsidR="0047783A" w:rsidRPr="006A5F84" w:rsidRDefault="0047783A" w:rsidP="0047783A">
      <w:pPr>
        <w:ind w:left="709" w:hanging="709"/>
        <w:jc w:val="both"/>
        <w:rPr>
          <w:sz w:val="22"/>
          <w:szCs w:val="22"/>
        </w:rPr>
      </w:pPr>
      <w:r w:rsidRPr="006A5F84">
        <w:rPr>
          <w:b/>
          <w:sz w:val="22"/>
          <w:szCs w:val="22"/>
        </w:rPr>
        <w:t>6</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Pr>
          <w:sz w:val="22"/>
          <w:szCs w:val="22"/>
          <w:highlight w:val="lightGray"/>
        </w:rPr>
        <w:t>and our subcontractors</w:t>
      </w:r>
      <w:r w:rsidRPr="006A5F84">
        <w:rPr>
          <w:sz w:val="22"/>
          <w:szCs w:val="22"/>
        </w:rPr>
        <w:t>] has/have the following nationality:</w:t>
      </w:r>
    </w:p>
    <w:p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Pr>
          <w:bCs/>
          <w:sz w:val="22"/>
          <w:szCs w:val="22"/>
          <w:highlight w:val="lightGray"/>
        </w:rPr>
        <w:t>as member in the consortium led by</w:t>
      </w:r>
      <w:r w:rsidR="008431A6" w:rsidRPr="002D59A9">
        <w:rPr>
          <w:sz w:val="22"/>
          <w:szCs w:val="22"/>
          <w:highlight w:val="yellow"/>
        </w:rPr>
        <w:t>[</w:t>
      </w:r>
      <w:r w:rsidRPr="002D59A9">
        <w:rPr>
          <w:sz w:val="22"/>
          <w:szCs w:val="22"/>
          <w:highlight w:val="yellow"/>
        </w:rPr>
        <w:t>&lt; name of the leader</w:t>
      </w:r>
      <w:r w:rsidR="008431A6">
        <w:rPr>
          <w:sz w:val="22"/>
          <w:szCs w:val="22"/>
        </w:rPr>
        <w:t>&gt;] [</w:t>
      </w:r>
      <w:r>
        <w:rPr>
          <w:sz w:val="22"/>
          <w:szCs w:val="22"/>
          <w:highlight w:val="lightGray"/>
        </w:rPr>
        <w:t>ourselves</w:t>
      </w:r>
      <w:r w:rsidRPr="006A5F84">
        <w:rPr>
          <w:sz w:val="22"/>
          <w:szCs w:val="22"/>
        </w:rPr>
        <w:t>]*. We confirm that we are not tendering for the same contract in any other form. [</w:t>
      </w:r>
      <w:r>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sz w:val="22"/>
          <w:szCs w:val="22"/>
          <w:highlight w:val="lightGray"/>
        </w:rPr>
        <w:t>’</w:t>
      </w:r>
      <w:r>
        <w:rPr>
          <w:sz w:val="22"/>
          <w:szCs w:val="22"/>
          <w:highlight w:val="lightGray"/>
        </w:rPr>
        <w:t>s execution].</w:t>
      </w:r>
      <w:r w:rsidR="006E4B07">
        <w:rPr>
          <w:sz w:val="22"/>
          <w:szCs w:val="22"/>
          <w:highlight w:val="lightGray"/>
        </w:rPr>
        <w:t xml:space="preserve"> [We confirm, as capacity-providing entity to be jointly and severally bound in respect of the obligations under the contract, including for any recoverable amount.]</w:t>
      </w:r>
    </w:p>
    <w:p w:rsidR="0047783A" w:rsidRPr="006A5F84" w:rsidRDefault="0047783A" w:rsidP="0047783A">
      <w:pPr>
        <w:ind w:left="709" w:hanging="709"/>
        <w:jc w:val="both"/>
        <w:rPr>
          <w:sz w:val="22"/>
          <w:szCs w:val="22"/>
        </w:rPr>
      </w:pPr>
      <w:r w:rsidRPr="006A5F84">
        <w:rPr>
          <w:b/>
          <w:sz w:val="22"/>
          <w:szCs w:val="22"/>
        </w:rPr>
        <w:lastRenderedPageBreak/>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 xml:space="preserve">confirm that we, including allconsortium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1" w:history="1">
        <w:r w:rsidRPr="001664DD">
          <w:rPr>
            <w:sz w:val="22"/>
          </w:rPr>
          <w:t>www.sanctionsmap.eu</w:t>
        </w:r>
      </w:hyperlink>
      <w:r w:rsidRPr="001664DD">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rsidR="0047783A" w:rsidRPr="006A5F84" w:rsidRDefault="0047783A" w:rsidP="0047783A">
      <w:pPr>
        <w:ind w:left="709" w:hanging="709"/>
        <w:jc w:val="both"/>
        <w:rPr>
          <w:sz w:val="22"/>
          <w:szCs w:val="22"/>
        </w:rPr>
      </w:pPr>
      <w:r w:rsidRPr="006A5F84">
        <w:rPr>
          <w:b/>
          <w:sz w:val="22"/>
          <w:szCs w:val="22"/>
        </w:rPr>
        <w:t>12</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rsidR="0047783A" w:rsidRPr="006A5F84" w:rsidRDefault="0047783A" w:rsidP="0047783A">
      <w:pPr>
        <w:ind w:left="567" w:hanging="567"/>
        <w:jc w:val="both"/>
        <w:rPr>
          <w:sz w:val="22"/>
          <w:szCs w:val="22"/>
        </w:rPr>
      </w:pPr>
    </w:p>
    <w:p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Pr>
          <w:sz w:val="22"/>
          <w:szCs w:val="22"/>
          <w:highlight w:val="lightGray"/>
        </w:rPr>
        <w:t>ed accounts and our latest projections. Estimated figures (i</w:t>
      </w:r>
      <w:r w:rsidR="00BA70CB">
        <w:rPr>
          <w:sz w:val="22"/>
          <w:szCs w:val="22"/>
          <w:highlight w:val="lightGray"/>
        </w:rPr>
        <w:t>.</w:t>
      </w:r>
      <w:r>
        <w:rPr>
          <w:sz w:val="22"/>
          <w:szCs w:val="22"/>
          <w:highlight w:val="lightGray"/>
        </w:rPr>
        <w:t>e</w:t>
      </w:r>
      <w:r w:rsidR="00BA70CB">
        <w:rPr>
          <w:sz w:val="22"/>
          <w:szCs w:val="22"/>
          <w:highlight w:val="lightGray"/>
        </w:rPr>
        <w:t>.</w:t>
      </w:r>
      <w:r>
        <w:rPr>
          <w:sz w:val="22"/>
          <w:szCs w:val="22"/>
          <w:highlight w:val="lightGray"/>
        </w:rPr>
        <w:t xml:space="preserve"> those not included in annual </w:t>
      </w:r>
      <w:r w:rsidR="00EF3666">
        <w:rPr>
          <w:sz w:val="22"/>
          <w:szCs w:val="22"/>
          <w:highlight w:val="lightGray"/>
        </w:rPr>
        <w:t>clos</w:t>
      </w:r>
      <w:r>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Pr>
          <w:sz w:val="22"/>
          <w:szCs w:val="22"/>
          <w:highlight w:val="lightGray"/>
        </w:rPr>
        <w:t>&gt;.</w:t>
      </w:r>
    </w:p>
    <w:tbl>
      <w:tblPr>
        <w:tblW w:w="9355"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410"/>
        <w:gridCol w:w="1417"/>
        <w:gridCol w:w="1276"/>
        <w:gridCol w:w="1134"/>
        <w:gridCol w:w="1134"/>
        <w:gridCol w:w="992"/>
        <w:gridCol w:w="992"/>
      </w:tblGrid>
      <w:tr w:rsidR="00B95E2A" w:rsidRPr="006A5F84" w:rsidTr="00383E90">
        <w:tc>
          <w:tcPr>
            <w:tcW w:w="2410" w:type="dxa"/>
            <w:tcBorders>
              <w:bottom w:val="nil"/>
            </w:tcBorders>
            <w:shd w:val="pct5" w:color="auto" w:fill="FFFFFF"/>
          </w:tcPr>
          <w:p w:rsidR="00B95E2A" w:rsidRDefault="00B95E2A" w:rsidP="0047783A">
            <w:pPr>
              <w:keepNext/>
              <w:keepLines/>
              <w:widowControl w:val="0"/>
              <w:jc w:val="center"/>
              <w:rPr>
                <w:b/>
                <w:sz w:val="22"/>
                <w:szCs w:val="22"/>
              </w:rPr>
            </w:pPr>
            <w:r w:rsidRPr="006A5F84">
              <w:rPr>
                <w:b/>
                <w:sz w:val="22"/>
                <w:szCs w:val="22"/>
              </w:rPr>
              <w:t>Financial data</w:t>
            </w:r>
          </w:p>
          <w:p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rsidR="00B95E2A" w:rsidRDefault="00B95E2A" w:rsidP="0047783A">
            <w:pPr>
              <w:keepNext/>
              <w:keepLines/>
              <w:widowControl w:val="0"/>
              <w:jc w:val="center"/>
              <w:rPr>
                <w:b/>
                <w:sz w:val="22"/>
                <w:szCs w:val="22"/>
              </w:rPr>
            </w:pPr>
            <w:r w:rsidRPr="006A5F84">
              <w:rPr>
                <w:b/>
                <w:sz w:val="22"/>
                <w:szCs w:val="22"/>
              </w:rPr>
              <w:t>Year before last year</w:t>
            </w:r>
          </w:p>
          <w:p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rsidR="00B95E2A" w:rsidRDefault="00B95E2A" w:rsidP="0047783A">
            <w:pPr>
              <w:keepNext/>
              <w:keepLines/>
              <w:widowControl w:val="0"/>
              <w:jc w:val="center"/>
              <w:rPr>
                <w:b/>
                <w:sz w:val="22"/>
                <w:szCs w:val="22"/>
              </w:rPr>
            </w:pPr>
            <w:r w:rsidRPr="006A5F84">
              <w:rPr>
                <w:b/>
                <w:sz w:val="22"/>
                <w:szCs w:val="22"/>
              </w:rPr>
              <w:t>Last year</w:t>
            </w:r>
          </w:p>
          <w:p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Pr>
                <w:b/>
                <w:sz w:val="22"/>
                <w:szCs w:val="22"/>
              </w:rPr>
              <w:br/>
            </w:r>
          </w:p>
          <w:p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rsidR="00B95E2A" w:rsidRDefault="00B95E2A" w:rsidP="00D64597">
            <w:pPr>
              <w:widowControl w:val="0"/>
              <w:spacing w:before="60" w:after="60"/>
              <w:jc w:val="center"/>
              <w:rPr>
                <w:b/>
                <w:sz w:val="22"/>
                <w:szCs w:val="22"/>
                <w:highlight w:val="lightGray"/>
              </w:rPr>
            </w:pPr>
            <w:r>
              <w:rPr>
                <w:b/>
                <w:highlight w:val="lightGray"/>
              </w:rPr>
              <w:t xml:space="preserve">Past </w:t>
            </w:r>
            <w:r>
              <w:rPr>
                <w:b/>
                <w:sz w:val="22"/>
                <w:szCs w:val="22"/>
                <w:highlight w:val="lightGray"/>
              </w:rPr>
              <w:t>year</w:t>
            </w:r>
            <w:r>
              <w:rPr>
                <w:b/>
                <w:sz w:val="22"/>
                <w:szCs w:val="22"/>
                <w:highlight w:val="lightGray"/>
              </w:rPr>
              <w:br/>
            </w:r>
          </w:p>
          <w:p w:rsidR="00B95E2A" w:rsidRPr="006A5F84" w:rsidRDefault="00B95E2A" w:rsidP="0047783A">
            <w:pPr>
              <w:keepNext/>
              <w:keepLines/>
              <w:widowControl w:val="0"/>
              <w:jc w:val="center"/>
              <w:rPr>
                <w:b/>
                <w:sz w:val="22"/>
                <w:szCs w:val="22"/>
              </w:rPr>
            </w:pPr>
            <w:r>
              <w:rPr>
                <w:b/>
                <w:sz w:val="22"/>
                <w:szCs w:val="22"/>
                <w:highlight w:val="lightGray"/>
              </w:rPr>
              <w:t>EUR</w:t>
            </w:r>
            <w:r>
              <w:rPr>
                <w:b/>
                <w:sz w:val="22"/>
                <w:szCs w:val="22"/>
              </w:rPr>
              <w:t>]</w:t>
            </w:r>
          </w:p>
        </w:tc>
        <w:tc>
          <w:tcPr>
            <w:tcW w:w="992" w:type="dxa"/>
            <w:tcBorders>
              <w:bottom w:val="nil"/>
            </w:tcBorders>
            <w:shd w:val="pct5" w:color="auto" w:fill="FFFFFF"/>
          </w:tcPr>
          <w:p w:rsidR="00B95E2A" w:rsidRDefault="00B95E2A" w:rsidP="00B95E2A">
            <w:pPr>
              <w:widowControl w:val="0"/>
              <w:spacing w:before="60" w:after="60"/>
              <w:jc w:val="center"/>
              <w:rPr>
                <w:b/>
                <w:highlight w:val="lightGray"/>
              </w:rPr>
            </w:pPr>
            <w:r>
              <w:rPr>
                <w:b/>
                <w:sz w:val="22"/>
                <w:szCs w:val="22"/>
                <w:highlight w:val="lightGray"/>
              </w:rPr>
              <w:t xml:space="preserve">[Current </w:t>
            </w:r>
            <w:r>
              <w:rPr>
                <w:b/>
                <w:highlight w:val="lightGray"/>
              </w:rPr>
              <w:t>year</w:t>
            </w:r>
          </w:p>
          <w:p w:rsidR="00B95E2A" w:rsidRDefault="00B95E2A" w:rsidP="00B95E2A">
            <w:pPr>
              <w:widowControl w:val="0"/>
              <w:spacing w:before="60" w:after="60"/>
              <w:jc w:val="center"/>
              <w:rPr>
                <w:b/>
                <w:highlight w:val="lightGray"/>
              </w:rPr>
            </w:pPr>
            <w:r>
              <w:rPr>
                <w:b/>
                <w:sz w:val="22"/>
                <w:szCs w:val="22"/>
                <w:highlight w:val="lightGray"/>
              </w:rPr>
              <w:t>EUR</w:t>
            </w:r>
            <w:r>
              <w:rPr>
                <w:b/>
                <w:sz w:val="22"/>
                <w:szCs w:val="22"/>
              </w:rPr>
              <w:t>]</w:t>
            </w:r>
          </w:p>
        </w:tc>
      </w:tr>
      <w:tr w:rsidR="00B95E2A" w:rsidRPr="006A5F84" w:rsidTr="00383E90">
        <w:trPr>
          <w:cantSplit/>
        </w:trPr>
        <w:tc>
          <w:tcPr>
            <w:tcW w:w="2410" w:type="dxa"/>
            <w:tcBorders>
              <w:top w:val="single" w:sz="6" w:space="0" w:color="auto"/>
              <w:bottom w:val="double" w:sz="2" w:space="0" w:color="auto"/>
            </w:tcBorders>
          </w:tcPr>
          <w:p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rsidR="00B95E2A" w:rsidRPr="006A5F84" w:rsidRDefault="00B95E2A" w:rsidP="0047783A">
            <w:pPr>
              <w:keepNext/>
              <w:keepLines/>
              <w:widowControl w:val="0"/>
              <w:rPr>
                <w:sz w:val="22"/>
                <w:szCs w:val="22"/>
              </w:rPr>
            </w:pPr>
          </w:p>
        </w:tc>
      </w:tr>
      <w:tr w:rsidR="00B95E2A" w:rsidRPr="006A5F84" w:rsidTr="00383E90">
        <w:trPr>
          <w:cantSplit/>
        </w:trPr>
        <w:tc>
          <w:tcPr>
            <w:tcW w:w="2410" w:type="dxa"/>
            <w:tcBorders>
              <w:top w:val="nil"/>
            </w:tcBorders>
          </w:tcPr>
          <w:p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p>
        </w:tc>
        <w:tc>
          <w:tcPr>
            <w:tcW w:w="1417" w:type="dxa"/>
            <w:tcBorders>
              <w:top w:val="nil"/>
            </w:tcBorders>
          </w:tcPr>
          <w:p w:rsidR="00B95E2A" w:rsidRPr="006A5F84" w:rsidRDefault="00B95E2A" w:rsidP="0047783A">
            <w:pPr>
              <w:keepNext/>
              <w:keepLines/>
              <w:widowControl w:val="0"/>
              <w:rPr>
                <w:sz w:val="22"/>
                <w:szCs w:val="22"/>
              </w:rPr>
            </w:pPr>
          </w:p>
        </w:tc>
        <w:tc>
          <w:tcPr>
            <w:tcW w:w="1276" w:type="dxa"/>
            <w:tcBorders>
              <w:top w:val="nil"/>
            </w:tcBorders>
          </w:tcPr>
          <w:p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rsidR="00B95E2A" w:rsidRPr="006A5F84" w:rsidRDefault="00B95E2A" w:rsidP="0047783A">
            <w:pPr>
              <w:keepNext/>
              <w:keepLines/>
              <w:widowControl w:val="0"/>
              <w:rPr>
                <w:sz w:val="22"/>
                <w:szCs w:val="22"/>
              </w:rPr>
            </w:pPr>
          </w:p>
        </w:tc>
      </w:tr>
      <w:tr w:rsidR="00B95E2A" w:rsidRPr="006A5F84" w:rsidTr="00383E90">
        <w:trPr>
          <w:cantSplit/>
        </w:trPr>
        <w:tc>
          <w:tcPr>
            <w:tcW w:w="2410" w:type="dxa"/>
          </w:tcPr>
          <w:p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p>
        </w:tc>
        <w:tc>
          <w:tcPr>
            <w:tcW w:w="1417" w:type="dxa"/>
          </w:tcPr>
          <w:p w:rsidR="00B95E2A" w:rsidRPr="006A5F84" w:rsidRDefault="00B95E2A" w:rsidP="0047783A">
            <w:pPr>
              <w:keepNext/>
              <w:keepLines/>
              <w:widowControl w:val="0"/>
              <w:rPr>
                <w:sz w:val="22"/>
                <w:szCs w:val="22"/>
              </w:rPr>
            </w:pPr>
          </w:p>
        </w:tc>
        <w:tc>
          <w:tcPr>
            <w:tcW w:w="1276" w:type="dxa"/>
          </w:tcPr>
          <w:p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rsidR="00B95E2A" w:rsidRPr="006A5F84" w:rsidRDefault="00B95E2A" w:rsidP="0047783A">
            <w:pPr>
              <w:keepNext/>
              <w:keepLines/>
              <w:widowControl w:val="0"/>
              <w:rPr>
                <w:sz w:val="22"/>
                <w:szCs w:val="22"/>
              </w:rPr>
            </w:pPr>
          </w:p>
        </w:tc>
      </w:tr>
      <w:tr w:rsidR="00267F66" w:rsidRPr="006A5F84" w:rsidTr="00383E90">
        <w:trPr>
          <w:cantSplit/>
        </w:trPr>
        <w:tc>
          <w:tcPr>
            <w:tcW w:w="2410" w:type="dxa"/>
          </w:tcPr>
          <w:p w:rsidR="00267F66" w:rsidRPr="00CF5D66" w:rsidRDefault="00267F66" w:rsidP="00512586">
            <w:pPr>
              <w:keepNext/>
              <w:keepLines/>
              <w:widowControl w:val="0"/>
              <w:rPr>
                <w:sz w:val="22"/>
                <w:szCs w:val="22"/>
                <w:lang w:val="fr-BE"/>
              </w:rPr>
            </w:pPr>
            <w:r>
              <w:rPr>
                <w:sz w:val="22"/>
                <w:szCs w:val="22"/>
                <w:highlight w:val="lightGray"/>
                <w:lang w:val="fr-BE"/>
              </w:rPr>
              <w:t>[Current ratio (current assets/current liabilities)</w:t>
            </w:r>
          </w:p>
        </w:tc>
        <w:tc>
          <w:tcPr>
            <w:tcW w:w="1417" w:type="dxa"/>
            <w:tcBorders>
              <w:bottom w:val="single" w:sz="6" w:space="0" w:color="auto"/>
            </w:tcBorders>
          </w:tcPr>
          <w:p w:rsidR="00267F66" w:rsidRPr="006A5F84" w:rsidRDefault="00267F66" w:rsidP="0047783A">
            <w:pPr>
              <w:keepNext/>
              <w:keepLines/>
              <w:widowControl w:val="0"/>
              <w:rPr>
                <w:sz w:val="22"/>
                <w:szCs w:val="22"/>
              </w:rPr>
            </w:pPr>
            <w:r>
              <w:rPr>
                <w:sz w:val="22"/>
                <w:szCs w:val="22"/>
                <w:highlight w:val="lightGray"/>
              </w:rPr>
              <w:t>Not applicable</w:t>
            </w:r>
          </w:p>
        </w:tc>
        <w:tc>
          <w:tcPr>
            <w:tcW w:w="1276" w:type="dxa"/>
            <w:tcBorders>
              <w:bottom w:val="single" w:sz="6" w:space="0" w:color="auto"/>
            </w:tcBorders>
          </w:tcPr>
          <w:p w:rsidR="00267F66" w:rsidRPr="006A5F84" w:rsidRDefault="00267F66" w:rsidP="0047783A">
            <w:pPr>
              <w:keepNext/>
              <w:keepLines/>
              <w:widowControl w:val="0"/>
              <w:rPr>
                <w:sz w:val="22"/>
                <w:szCs w:val="22"/>
              </w:rPr>
            </w:pPr>
            <w:r>
              <w:rPr>
                <w:sz w:val="22"/>
                <w:szCs w:val="22"/>
                <w:highlight w:val="lightGray"/>
              </w:rPr>
              <w:t>Not applicable</w:t>
            </w:r>
          </w:p>
        </w:tc>
        <w:tc>
          <w:tcPr>
            <w:tcW w:w="1134" w:type="dxa"/>
            <w:tcBorders>
              <w:top w:val="single" w:sz="6" w:space="0" w:color="auto"/>
              <w:bottom w:val="single" w:sz="6" w:space="0" w:color="auto"/>
            </w:tcBorders>
            <w:shd w:val="clear" w:color="auto" w:fill="auto"/>
          </w:tcPr>
          <w:p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rsidR="00267F66" w:rsidRPr="006A5F84" w:rsidRDefault="00267F66" w:rsidP="0047783A">
            <w:pPr>
              <w:keepNext/>
              <w:keepLines/>
              <w:widowControl w:val="0"/>
              <w:rPr>
                <w:sz w:val="22"/>
                <w:szCs w:val="22"/>
              </w:rPr>
            </w:pPr>
            <w:r>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rsidR="00267F66" w:rsidRPr="006A5F84" w:rsidRDefault="00267F66" w:rsidP="0047783A">
            <w:pPr>
              <w:keepNext/>
              <w:keepLines/>
              <w:widowControl w:val="0"/>
              <w:rPr>
                <w:sz w:val="22"/>
                <w:szCs w:val="22"/>
              </w:rPr>
            </w:pPr>
            <w:r>
              <w:rPr>
                <w:sz w:val="22"/>
                <w:szCs w:val="22"/>
                <w:highlight w:val="lightGray"/>
              </w:rPr>
              <w:t>Not applicable</w:t>
            </w:r>
          </w:p>
        </w:tc>
        <w:tc>
          <w:tcPr>
            <w:tcW w:w="992" w:type="dxa"/>
            <w:tcBorders>
              <w:top w:val="single" w:sz="6" w:space="0" w:color="auto"/>
              <w:bottom w:val="single" w:sz="6" w:space="0" w:color="auto"/>
            </w:tcBorders>
          </w:tcPr>
          <w:p w:rsidR="00267F66" w:rsidRPr="006A5F84" w:rsidRDefault="00267F66" w:rsidP="0047783A">
            <w:pPr>
              <w:keepNext/>
              <w:keepLines/>
              <w:widowControl w:val="0"/>
              <w:rPr>
                <w:sz w:val="22"/>
                <w:szCs w:val="22"/>
              </w:rPr>
            </w:pPr>
            <w:r>
              <w:rPr>
                <w:sz w:val="22"/>
                <w:szCs w:val="22"/>
                <w:highlight w:val="lightGray"/>
              </w:rPr>
              <w:t>Not applicable]</w:t>
            </w:r>
          </w:p>
        </w:tc>
      </w:tr>
    </w:tbl>
    <w:p w:rsidR="0047783A" w:rsidRPr="006A5F84" w:rsidRDefault="0047783A" w:rsidP="0047783A">
      <w:pPr>
        <w:keepNext/>
        <w:widowControl w:val="0"/>
        <w:spacing w:before="240"/>
        <w:jc w:val="both"/>
        <w:rPr>
          <w:sz w:val="22"/>
          <w:szCs w:val="22"/>
        </w:rPr>
      </w:pPr>
      <w:r>
        <w:rPr>
          <w:sz w:val="22"/>
          <w:szCs w:val="22"/>
          <w:highlight w:val="lightGray"/>
        </w:rPr>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438"/>
        <w:gridCol w:w="922"/>
        <w:gridCol w:w="922"/>
        <w:gridCol w:w="923"/>
        <w:gridCol w:w="922"/>
        <w:gridCol w:w="922"/>
        <w:gridCol w:w="923"/>
        <w:gridCol w:w="922"/>
        <w:gridCol w:w="923"/>
      </w:tblGrid>
      <w:tr w:rsidR="00250CE6" w:rsidRPr="006A5F84" w:rsidTr="00D64597">
        <w:trPr>
          <w:cantSplit/>
          <w:trHeight w:val="303"/>
        </w:trPr>
        <w:tc>
          <w:tcPr>
            <w:tcW w:w="1438" w:type="dxa"/>
            <w:shd w:val="pct5" w:color="auto" w:fill="FFFFFF"/>
          </w:tcPr>
          <w:p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rsidTr="00D64597">
        <w:trPr>
          <w:cantSplit/>
          <w:trHeight w:val="303"/>
        </w:trPr>
        <w:tc>
          <w:tcPr>
            <w:tcW w:w="1438" w:type="dxa"/>
            <w:shd w:val="pct5" w:color="auto" w:fill="FFFFFF"/>
          </w:tcPr>
          <w:p w:rsidR="00250CE6" w:rsidRPr="006A5F84" w:rsidRDefault="00250CE6" w:rsidP="0047783A">
            <w:pPr>
              <w:keepNext/>
              <w:keepLines/>
              <w:widowControl w:val="0"/>
              <w:jc w:val="center"/>
              <w:rPr>
                <w:b/>
                <w:sz w:val="22"/>
                <w:szCs w:val="22"/>
              </w:rPr>
            </w:pPr>
          </w:p>
        </w:tc>
        <w:tc>
          <w:tcPr>
            <w:tcW w:w="922" w:type="dxa"/>
            <w:shd w:val="pct5" w:color="auto" w:fill="FFFFFF"/>
          </w:tcPr>
          <w:p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rsidR="00250CE6" w:rsidRPr="006A5F84" w:rsidRDefault="00A0264D" w:rsidP="006E4B07">
            <w:pPr>
              <w:keepNext/>
              <w:keepLines/>
              <w:widowControl w:val="0"/>
              <w:jc w:val="center"/>
              <w:rPr>
                <w:b/>
                <w:sz w:val="22"/>
                <w:szCs w:val="22"/>
              </w:rPr>
            </w:pPr>
            <w:r>
              <w:rPr>
                <w:b/>
              </w:rPr>
              <w:t>Relevant</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rsidR="00250CE6" w:rsidRPr="006A5F84" w:rsidRDefault="00250CE6" w:rsidP="0047783A">
            <w:pPr>
              <w:keepNext/>
              <w:keepLines/>
              <w:widowControl w:val="0"/>
              <w:jc w:val="center"/>
              <w:rPr>
                <w:b/>
                <w:sz w:val="22"/>
                <w:szCs w:val="22"/>
              </w:rPr>
            </w:pPr>
          </w:p>
        </w:tc>
        <w:tc>
          <w:tcPr>
            <w:tcW w:w="922" w:type="dxa"/>
            <w:shd w:val="pct5" w:color="auto" w:fill="FFFFFF"/>
          </w:tcPr>
          <w:p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rsidR="00250CE6" w:rsidRPr="006A5F84" w:rsidRDefault="00A0264D" w:rsidP="006E4B07">
            <w:pPr>
              <w:keepNext/>
              <w:keepLines/>
              <w:widowControl w:val="0"/>
              <w:jc w:val="center"/>
              <w:rPr>
                <w:b/>
                <w:sz w:val="22"/>
                <w:szCs w:val="22"/>
              </w:rPr>
            </w:pPr>
            <w:r>
              <w:rPr>
                <w:b/>
              </w:rPr>
              <w:t>Relevant</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rsidR="00250CE6" w:rsidRPr="006A5F84" w:rsidRDefault="00A0264D" w:rsidP="006E4B07">
            <w:pPr>
              <w:keepNext/>
              <w:keepLines/>
              <w:widowControl w:val="0"/>
              <w:jc w:val="center"/>
              <w:rPr>
                <w:b/>
                <w:sz w:val="22"/>
                <w:szCs w:val="22"/>
              </w:rPr>
            </w:pPr>
            <w:r>
              <w:rPr>
                <w:b/>
              </w:rPr>
              <w:t>Relevant</w:t>
            </w:r>
            <w:r w:rsidR="00250CE6" w:rsidRPr="006A5F84">
              <w:rPr>
                <w:b/>
                <w:sz w:val="22"/>
                <w:szCs w:val="22"/>
              </w:rPr>
              <w:t xml:space="preserve">fields </w:t>
            </w:r>
            <w:r w:rsidR="00250CE6" w:rsidRPr="006A5F84">
              <w:rPr>
                <w:sz w:val="22"/>
                <w:szCs w:val="22"/>
                <w:vertAlign w:val="superscript"/>
              </w:rPr>
              <w:t>11</w:t>
            </w:r>
          </w:p>
        </w:tc>
      </w:tr>
      <w:tr w:rsidR="00250CE6" w:rsidRPr="006A5F84" w:rsidTr="00D64597">
        <w:trPr>
          <w:cantSplit/>
          <w:trHeight w:val="521"/>
        </w:trPr>
        <w:tc>
          <w:tcPr>
            <w:tcW w:w="1438" w:type="dxa"/>
            <w:tcBorders>
              <w:bottom w:val="nil"/>
            </w:tcBorders>
          </w:tcPr>
          <w:p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Pr="006A5F84">
              <w:rPr>
                <w:sz w:val="22"/>
                <w:szCs w:val="22"/>
                <w:vertAlign w:val="superscript"/>
              </w:rPr>
              <w:t>12</w:t>
            </w:r>
          </w:p>
        </w:tc>
        <w:tc>
          <w:tcPr>
            <w:tcW w:w="922"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rPr>
                <w:sz w:val="22"/>
                <w:szCs w:val="22"/>
              </w:rPr>
            </w:pPr>
          </w:p>
        </w:tc>
        <w:tc>
          <w:tcPr>
            <w:tcW w:w="923"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rPr>
                <w:sz w:val="22"/>
                <w:szCs w:val="22"/>
              </w:rPr>
            </w:pPr>
          </w:p>
        </w:tc>
        <w:tc>
          <w:tcPr>
            <w:tcW w:w="923" w:type="dxa"/>
            <w:tcBorders>
              <w:bottom w:val="nil"/>
            </w:tcBorders>
          </w:tcPr>
          <w:p w:rsidR="00250CE6" w:rsidRPr="006A5F84" w:rsidRDefault="00250CE6" w:rsidP="0047783A">
            <w:pPr>
              <w:keepLines/>
              <w:widowControl w:val="0"/>
              <w:rPr>
                <w:sz w:val="22"/>
                <w:szCs w:val="22"/>
              </w:rPr>
            </w:pPr>
          </w:p>
        </w:tc>
        <w:tc>
          <w:tcPr>
            <w:tcW w:w="922" w:type="dxa"/>
            <w:tcBorders>
              <w:bottom w:val="nil"/>
            </w:tcBorders>
          </w:tcPr>
          <w:p w:rsidR="00250CE6" w:rsidRPr="006A5F84" w:rsidRDefault="00250CE6" w:rsidP="0047783A">
            <w:pPr>
              <w:keepLines/>
              <w:widowControl w:val="0"/>
              <w:jc w:val="center"/>
              <w:rPr>
                <w:sz w:val="22"/>
                <w:szCs w:val="22"/>
              </w:rPr>
            </w:pPr>
          </w:p>
        </w:tc>
        <w:tc>
          <w:tcPr>
            <w:tcW w:w="923" w:type="dxa"/>
            <w:tcBorders>
              <w:bottom w:val="nil"/>
            </w:tcBorders>
          </w:tcPr>
          <w:p w:rsidR="00250CE6" w:rsidRPr="006A5F84" w:rsidRDefault="00250CE6" w:rsidP="0047783A">
            <w:pPr>
              <w:keepLines/>
              <w:widowControl w:val="0"/>
              <w:jc w:val="center"/>
              <w:rPr>
                <w:sz w:val="22"/>
                <w:szCs w:val="22"/>
              </w:rPr>
            </w:pPr>
          </w:p>
        </w:tc>
      </w:tr>
      <w:tr w:rsidR="00250CE6" w:rsidRPr="006A5F84" w:rsidTr="00D64597">
        <w:trPr>
          <w:cantSplit/>
          <w:trHeight w:val="511"/>
        </w:trPr>
        <w:tc>
          <w:tcPr>
            <w:tcW w:w="1438" w:type="dxa"/>
          </w:tcPr>
          <w:p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Pr="006A5F84">
              <w:rPr>
                <w:sz w:val="22"/>
                <w:szCs w:val="22"/>
                <w:vertAlign w:val="superscript"/>
              </w:rPr>
              <w:t>13</w:t>
            </w:r>
          </w:p>
        </w:tc>
        <w:tc>
          <w:tcPr>
            <w:tcW w:w="922"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rPr>
                <w:sz w:val="22"/>
                <w:szCs w:val="22"/>
              </w:rPr>
            </w:pPr>
          </w:p>
        </w:tc>
        <w:tc>
          <w:tcPr>
            <w:tcW w:w="923"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rPr>
                <w:sz w:val="22"/>
                <w:szCs w:val="22"/>
              </w:rPr>
            </w:pPr>
          </w:p>
        </w:tc>
        <w:tc>
          <w:tcPr>
            <w:tcW w:w="923" w:type="dxa"/>
          </w:tcPr>
          <w:p w:rsidR="00250CE6" w:rsidRPr="006A5F84" w:rsidRDefault="00250CE6" w:rsidP="0047783A">
            <w:pPr>
              <w:keepLines/>
              <w:widowControl w:val="0"/>
              <w:rPr>
                <w:sz w:val="22"/>
                <w:szCs w:val="22"/>
              </w:rPr>
            </w:pPr>
          </w:p>
        </w:tc>
        <w:tc>
          <w:tcPr>
            <w:tcW w:w="922" w:type="dxa"/>
          </w:tcPr>
          <w:p w:rsidR="00250CE6" w:rsidRPr="006A5F84" w:rsidRDefault="00250CE6" w:rsidP="0047783A">
            <w:pPr>
              <w:keepLines/>
              <w:widowControl w:val="0"/>
              <w:jc w:val="center"/>
              <w:rPr>
                <w:sz w:val="22"/>
                <w:szCs w:val="22"/>
              </w:rPr>
            </w:pPr>
          </w:p>
        </w:tc>
        <w:tc>
          <w:tcPr>
            <w:tcW w:w="923" w:type="dxa"/>
          </w:tcPr>
          <w:p w:rsidR="00250CE6" w:rsidRPr="006A5F84" w:rsidRDefault="00250CE6" w:rsidP="0047783A">
            <w:pPr>
              <w:keepLines/>
              <w:widowControl w:val="0"/>
              <w:jc w:val="center"/>
              <w:rPr>
                <w:sz w:val="22"/>
                <w:szCs w:val="22"/>
              </w:rPr>
            </w:pPr>
          </w:p>
        </w:tc>
      </w:tr>
      <w:tr w:rsidR="005A3AB2" w:rsidRPr="006A5F84" w:rsidTr="00D64597">
        <w:trPr>
          <w:cantSplit/>
          <w:trHeight w:val="511"/>
        </w:trPr>
        <w:tc>
          <w:tcPr>
            <w:tcW w:w="1438" w:type="dxa"/>
          </w:tcPr>
          <w:p w:rsidR="005A3AB2" w:rsidRPr="006A5F84" w:rsidRDefault="0052694A" w:rsidP="0047783A">
            <w:pPr>
              <w:keepLines/>
              <w:widowControl w:val="0"/>
              <w:rPr>
                <w:sz w:val="22"/>
                <w:szCs w:val="22"/>
              </w:rPr>
            </w:pPr>
            <w:r>
              <w:rPr>
                <w:sz w:val="22"/>
                <w:szCs w:val="22"/>
              </w:rPr>
              <w:t>Total</w:t>
            </w:r>
          </w:p>
        </w:tc>
        <w:tc>
          <w:tcPr>
            <w:tcW w:w="922"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rPr>
                <w:sz w:val="22"/>
                <w:szCs w:val="22"/>
              </w:rPr>
            </w:pPr>
          </w:p>
        </w:tc>
        <w:tc>
          <w:tcPr>
            <w:tcW w:w="923"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rPr>
                <w:sz w:val="22"/>
                <w:szCs w:val="22"/>
              </w:rPr>
            </w:pPr>
          </w:p>
        </w:tc>
        <w:tc>
          <w:tcPr>
            <w:tcW w:w="923" w:type="dxa"/>
          </w:tcPr>
          <w:p w:rsidR="005A3AB2" w:rsidRPr="006A5F84" w:rsidRDefault="005A3AB2" w:rsidP="0047783A">
            <w:pPr>
              <w:keepLines/>
              <w:widowControl w:val="0"/>
              <w:rPr>
                <w:sz w:val="22"/>
                <w:szCs w:val="22"/>
              </w:rPr>
            </w:pPr>
          </w:p>
        </w:tc>
        <w:tc>
          <w:tcPr>
            <w:tcW w:w="922" w:type="dxa"/>
          </w:tcPr>
          <w:p w:rsidR="005A3AB2" w:rsidRPr="006A5F84" w:rsidRDefault="005A3AB2" w:rsidP="0047783A">
            <w:pPr>
              <w:keepLines/>
              <w:widowControl w:val="0"/>
              <w:jc w:val="center"/>
              <w:rPr>
                <w:sz w:val="22"/>
                <w:szCs w:val="22"/>
              </w:rPr>
            </w:pPr>
          </w:p>
        </w:tc>
        <w:tc>
          <w:tcPr>
            <w:tcW w:w="923" w:type="dxa"/>
          </w:tcPr>
          <w:p w:rsidR="005A3AB2" w:rsidRPr="006A5F84" w:rsidRDefault="005A3AB2" w:rsidP="0047783A">
            <w:pPr>
              <w:keepLines/>
              <w:widowControl w:val="0"/>
              <w:jc w:val="center"/>
              <w:rPr>
                <w:sz w:val="22"/>
                <w:szCs w:val="22"/>
              </w:rPr>
            </w:pPr>
          </w:p>
        </w:tc>
      </w:tr>
      <w:tr w:rsidR="0052694A" w:rsidRPr="006A5F84" w:rsidTr="00D64597">
        <w:trPr>
          <w:cantSplit/>
          <w:trHeight w:val="521"/>
        </w:trPr>
        <w:tc>
          <w:tcPr>
            <w:tcW w:w="1438" w:type="dxa"/>
          </w:tcPr>
          <w:p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Pr="006A5F84">
              <w:t>(%)</w:t>
            </w:r>
          </w:p>
        </w:tc>
        <w:tc>
          <w:tcPr>
            <w:tcW w:w="922"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rPr>
                <w:sz w:val="22"/>
                <w:szCs w:val="22"/>
              </w:rPr>
            </w:pPr>
            <w:r w:rsidRPr="006A5F84">
              <w:t>%</w:t>
            </w:r>
          </w:p>
        </w:tc>
        <w:tc>
          <w:tcPr>
            <w:tcW w:w="923"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rPr>
                <w:sz w:val="22"/>
                <w:szCs w:val="22"/>
              </w:rPr>
            </w:pPr>
            <w:r w:rsidRPr="006A5F84">
              <w:t>%</w:t>
            </w:r>
          </w:p>
        </w:tc>
        <w:tc>
          <w:tcPr>
            <w:tcW w:w="923" w:type="dxa"/>
          </w:tcPr>
          <w:p w:rsidR="0052694A" w:rsidRPr="006A5F84" w:rsidRDefault="0052694A" w:rsidP="0047783A">
            <w:pPr>
              <w:keepLines/>
              <w:widowControl w:val="0"/>
              <w:rPr>
                <w:sz w:val="22"/>
                <w:szCs w:val="22"/>
              </w:rPr>
            </w:pPr>
            <w:r w:rsidRPr="006A5F84">
              <w:t>%</w:t>
            </w:r>
          </w:p>
        </w:tc>
        <w:tc>
          <w:tcPr>
            <w:tcW w:w="922" w:type="dxa"/>
          </w:tcPr>
          <w:p w:rsidR="0052694A" w:rsidRPr="006A5F84" w:rsidRDefault="0052694A" w:rsidP="0047783A">
            <w:pPr>
              <w:keepLines/>
              <w:widowControl w:val="0"/>
              <w:jc w:val="center"/>
              <w:rPr>
                <w:sz w:val="22"/>
                <w:szCs w:val="22"/>
              </w:rPr>
            </w:pPr>
            <w:r>
              <w:rPr>
                <w:sz w:val="22"/>
                <w:szCs w:val="22"/>
              </w:rPr>
              <w:t>%</w:t>
            </w:r>
          </w:p>
        </w:tc>
        <w:tc>
          <w:tcPr>
            <w:tcW w:w="923" w:type="dxa"/>
          </w:tcPr>
          <w:p w:rsidR="0052694A" w:rsidRPr="006A5F84" w:rsidRDefault="0052694A" w:rsidP="0047783A">
            <w:pPr>
              <w:keepLines/>
              <w:widowControl w:val="0"/>
              <w:jc w:val="center"/>
              <w:rPr>
                <w:sz w:val="22"/>
                <w:szCs w:val="22"/>
              </w:rPr>
            </w:pPr>
            <w:r>
              <w:rPr>
                <w:sz w:val="22"/>
                <w:szCs w:val="22"/>
              </w:rPr>
              <w:t>%</w:t>
            </w:r>
          </w:p>
        </w:tc>
      </w:tr>
    </w:tbl>
    <w:p w:rsidR="0047783A" w:rsidRPr="006A5F84" w:rsidRDefault="0047783A" w:rsidP="0047783A">
      <w:pPr>
        <w:keepNext/>
        <w:keepLines/>
        <w:widowControl w:val="0"/>
        <w:spacing w:before="240"/>
        <w:jc w:val="both"/>
        <w:rPr>
          <w:sz w:val="22"/>
          <w:szCs w:val="22"/>
        </w:rPr>
      </w:pPr>
      <w:r w:rsidRPr="006A5F84">
        <w:rPr>
          <w:sz w:val="22"/>
          <w:szCs w:val="22"/>
        </w:rPr>
        <w:t>Yours faithfully</w:t>
      </w:r>
    </w:p>
    <w:p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rsidR="0047783A" w:rsidRPr="006A5F84" w:rsidRDefault="0047783A" w:rsidP="0047783A">
      <w:pPr>
        <w:spacing w:before="240"/>
        <w:jc w:val="both"/>
        <w:rPr>
          <w:sz w:val="22"/>
          <w:szCs w:val="22"/>
        </w:rPr>
      </w:pPr>
      <w:r w:rsidRPr="006A5F84">
        <w:rPr>
          <w:sz w:val="22"/>
          <w:szCs w:val="22"/>
        </w:rPr>
        <w:lastRenderedPageBreak/>
        <w:t>Stamp of the firm/company:</w:t>
      </w:r>
    </w:p>
    <w:p w:rsidR="0047783A" w:rsidRPr="006A5F84" w:rsidRDefault="0047783A" w:rsidP="0047783A">
      <w:pPr>
        <w:spacing w:before="240"/>
        <w:jc w:val="both"/>
        <w:rPr>
          <w:sz w:val="22"/>
          <w:szCs w:val="22"/>
        </w:rPr>
      </w:pPr>
      <w:r w:rsidRPr="006A5F84">
        <w:rPr>
          <w:sz w:val="22"/>
          <w:szCs w:val="22"/>
        </w:rPr>
        <w:t>This tender includes the following annexes:</w:t>
      </w:r>
    </w:p>
    <w:p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rsidR="00347075" w:rsidRDefault="000714DC" w:rsidP="00601A79">
      <w:pPr>
        <w:spacing w:before="240"/>
        <w:jc w:val="both"/>
        <w:rPr>
          <w:sz w:val="22"/>
          <w:szCs w:val="22"/>
        </w:rPr>
      </w:pPr>
      <w:r>
        <w:rPr>
          <w:sz w:val="22"/>
          <w:szCs w:val="22"/>
        </w:rPr>
        <w:br w:type="page"/>
      </w:r>
    </w:p>
    <w:p w:rsidR="00347075" w:rsidRPr="00347075" w:rsidRDefault="00347075" w:rsidP="004F0604">
      <w:pPr>
        <w:jc w:val="center"/>
        <w:rPr>
          <w:b/>
          <w:sz w:val="22"/>
          <w:szCs w:val="22"/>
        </w:rPr>
      </w:pPr>
      <w:r w:rsidRPr="00347075">
        <w:rPr>
          <w:b/>
          <w:sz w:val="22"/>
          <w:szCs w:val="22"/>
        </w:rPr>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rsidR="000714DC" w:rsidRDefault="000714DC" w:rsidP="000714DC">
      <w:pPr>
        <w:rPr>
          <w:rStyle w:val="Hyperlink"/>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2" w:history="1">
        <w:r w:rsidRPr="00F821B4">
          <w:rPr>
            <w:rStyle w:val="Hyperlink"/>
            <w:sz w:val="22"/>
            <w:szCs w:val="22"/>
          </w:rPr>
          <w:t>http://ec.europa.eu/europeaid/prag/annexes.do?chapterTitleCode=A</w:t>
        </w:r>
      </w:hyperlink>
    </w:p>
    <w:p w:rsidR="009473A5" w:rsidRDefault="009473A5" w:rsidP="000714DC">
      <w:pPr>
        <w:rPr>
          <w:rStyle w:val="Hyperlink"/>
          <w:color w:val="000000"/>
          <w:sz w:val="22"/>
          <w:szCs w:val="22"/>
          <w:u w:val="none"/>
        </w:rPr>
      </w:pPr>
      <w:r>
        <w:rPr>
          <w:rStyle w:val="Hyperlink"/>
          <w:b/>
          <w:sz w:val="22"/>
          <w:szCs w:val="22"/>
          <w:u w:val="none"/>
        </w:rPr>
        <w:br/>
      </w:r>
      <w:r>
        <w:rPr>
          <w:rStyle w:val="Hyperlink"/>
          <w:color w:val="000000"/>
          <w:sz w:val="22"/>
          <w:szCs w:val="22"/>
          <w:u w:val="none"/>
        </w:rPr>
        <w:t>For the Declaration on Honour, different steps are applicable depending on the type of procedure. The applicable procedure ca</w:t>
      </w:r>
      <w:r w:rsidR="00A56B96">
        <w:rPr>
          <w:rStyle w:val="Hyperlink"/>
          <w:color w:val="000000"/>
          <w:sz w:val="22"/>
          <w:szCs w:val="22"/>
          <w:u w:val="none"/>
        </w:rPr>
        <w:t>n be verified in your letter of</w:t>
      </w:r>
      <w:r>
        <w:rPr>
          <w:rStyle w:val="Hyperlink"/>
          <w:color w:val="000000"/>
          <w:sz w:val="22"/>
          <w:szCs w:val="22"/>
          <w:u w:val="none"/>
        </w:rPr>
        <w:t xml:space="preserve"> invitation.</w:t>
      </w:r>
      <w:r>
        <w:rPr>
          <w:rStyle w:val="Hyperlink"/>
          <w:color w:val="000000"/>
          <w:sz w:val="22"/>
          <w:szCs w:val="22"/>
          <w:u w:val="none"/>
        </w:rPr>
        <w:br/>
      </w:r>
    </w:p>
    <w:p w:rsidR="00F330B9" w:rsidRDefault="00284018" w:rsidP="000714DC">
      <w:pPr>
        <w:rPr>
          <w:rStyle w:val="Hyperlink"/>
          <w:b/>
          <w:color w:val="000000"/>
          <w:sz w:val="22"/>
          <w:szCs w:val="22"/>
          <w:u w:val="none"/>
        </w:rPr>
      </w:pPr>
      <w:r>
        <w:rPr>
          <w:rStyle w:val="Hyperlink"/>
          <w:b/>
          <w:color w:val="000000"/>
          <w:sz w:val="22"/>
          <w:szCs w:val="22"/>
          <w:u w:val="none"/>
        </w:rPr>
        <w:t>Open tender procedure</w:t>
      </w:r>
    </w:p>
    <w:p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p>
    <w:p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rsidR="00AD10B2" w:rsidRDefault="00AD10B2" w:rsidP="00AD10B2">
      <w:pPr>
        <w:widowControl w:val="0"/>
        <w:jc w:val="both"/>
        <w:rPr>
          <w:sz w:val="22"/>
          <w:szCs w:val="22"/>
          <w:highlight w:val="yellow"/>
        </w:rPr>
      </w:pPr>
    </w:p>
    <w:p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p>
    <w:p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rsidR="00F330B9" w:rsidRPr="009473A5" w:rsidRDefault="00F330B9" w:rsidP="004F0604">
      <w:pPr>
        <w:widowControl w:val="0"/>
        <w:jc w:val="both"/>
        <w:rPr>
          <w:sz w:val="22"/>
          <w:szCs w:val="22"/>
        </w:rPr>
      </w:pPr>
    </w:p>
    <w:p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eSubmission through the section “Declaration on Honour” under “Attachments”. </w:t>
      </w:r>
    </w:p>
    <w:p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Pr>
          <w:sz w:val="22"/>
          <w:szCs w:val="22"/>
          <w:highlight w:val="yellow"/>
        </w:rPr>
        <w:t>via eSubmission through the section “Declaration on Honour” under “Attachments”.</w:t>
      </w:r>
    </w:p>
    <w:p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be </w:t>
      </w:r>
      <w:r w:rsidR="006A4836" w:rsidRPr="005F7E20">
        <w:rPr>
          <w:sz w:val="22"/>
          <w:szCs w:val="22"/>
          <w:highlight w:val="yellow"/>
        </w:rPr>
        <w:lastRenderedPageBreak/>
        <w:t>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p>
    <w:p w:rsidR="009473A5" w:rsidRPr="004F0604" w:rsidRDefault="009473A5" w:rsidP="00F330B9">
      <w:pPr>
        <w:rPr>
          <w:rStyle w:val="Hyperlink"/>
          <w:b/>
          <w:sz w:val="22"/>
          <w:szCs w:val="22"/>
          <w:u w:val="none"/>
        </w:rPr>
      </w:pPr>
    </w:p>
    <w:p w:rsidR="00F330B9" w:rsidRDefault="009473A5" w:rsidP="00F330B9">
      <w:pPr>
        <w:rPr>
          <w:rStyle w:val="Hyperlink"/>
          <w:b/>
          <w:color w:val="000000"/>
          <w:sz w:val="22"/>
          <w:szCs w:val="22"/>
          <w:u w:val="none"/>
        </w:rPr>
      </w:pPr>
      <w:r>
        <w:rPr>
          <w:rStyle w:val="Hyperlink"/>
          <w:b/>
          <w:color w:val="000000"/>
          <w:sz w:val="22"/>
          <w:szCs w:val="22"/>
          <w:u w:val="none"/>
        </w:rPr>
        <w:t>S</w:t>
      </w:r>
      <w:r w:rsidR="00F330B9">
        <w:rPr>
          <w:rStyle w:val="Hyperlink"/>
          <w:b/>
          <w:color w:val="000000"/>
          <w:sz w:val="22"/>
          <w:szCs w:val="22"/>
          <w:u w:val="none"/>
        </w:rPr>
        <w:t>implified procedure</w:t>
      </w:r>
      <w:r w:rsidR="003F0370">
        <w:rPr>
          <w:rStyle w:val="Hyperlink"/>
          <w:b/>
          <w:color w:val="000000"/>
          <w:sz w:val="22"/>
          <w:szCs w:val="22"/>
          <w:u w:val="none"/>
        </w:rPr>
        <w:t>, local open procedure</w:t>
      </w:r>
      <w:r w:rsidR="00F330B9">
        <w:rPr>
          <w:rStyle w:val="Hyperlink"/>
          <w:b/>
          <w:color w:val="000000"/>
          <w:sz w:val="22"/>
          <w:szCs w:val="22"/>
          <w:u w:val="none"/>
        </w:rPr>
        <w:t xml:space="preserve"> and negotiated procedure </w:t>
      </w:r>
      <w:r>
        <w:rPr>
          <w:rStyle w:val="Hyperlink"/>
          <w:b/>
          <w:color w:val="000000"/>
          <w:sz w:val="22"/>
          <w:szCs w:val="22"/>
          <w:u w:val="none"/>
        </w:rPr>
        <w:t>indirectly managed by an EU partner country</w:t>
      </w:r>
    </w:p>
    <w:p w:rsidR="00F330B9" w:rsidRPr="004F0604" w:rsidRDefault="00F330B9" w:rsidP="004F0604">
      <w:pPr>
        <w:widowControl w:val="0"/>
        <w:jc w:val="both"/>
        <w:rPr>
          <w:sz w:val="22"/>
          <w:szCs w:val="22"/>
        </w:rPr>
      </w:pPr>
    </w:p>
    <w:p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rsidR="00F330B9" w:rsidRDefault="00F330B9" w:rsidP="00670B78">
      <w:pPr>
        <w:numPr>
          <w:ilvl w:val="0"/>
          <w:numId w:val="18"/>
        </w:numPr>
        <w:spacing w:beforeLines="120" w:afterLines="60"/>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xml:space="preserve">, submitthe QES-signed </w:t>
      </w:r>
      <w:r w:rsidRPr="002846FC">
        <w:rPr>
          <w:sz w:val="22"/>
          <w:szCs w:val="22"/>
          <w:highlight w:val="yellow"/>
        </w:rPr>
        <w:t>Declaration on Honour by email.</w:t>
      </w:r>
    </w:p>
    <w:p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rsidR="00347075" w:rsidRPr="00347075" w:rsidRDefault="00347075" w:rsidP="000714DC">
      <w:pPr>
        <w:spacing w:before="240"/>
        <w:jc w:val="both"/>
        <w:rPr>
          <w:sz w:val="22"/>
          <w:szCs w:val="22"/>
        </w:rPr>
      </w:pPr>
    </w:p>
    <w:sectPr w:rsidR="00347075" w:rsidRPr="00347075" w:rsidSect="00601A79">
      <w:headerReference w:type="even" r:id="rId23"/>
      <w:headerReference w:type="default" r:id="rId24"/>
      <w:footerReference w:type="even" r:id="rId25"/>
      <w:footerReference w:type="default" r:id="rId26"/>
      <w:headerReference w:type="first" r:id="rId27"/>
      <w:footerReference w:type="first" r:id="rId28"/>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CF" w:rsidRPr="006A5F84" w:rsidRDefault="00E569CF">
      <w:r w:rsidRPr="006A5F84">
        <w:separator/>
      </w:r>
    </w:p>
  </w:endnote>
  <w:endnote w:type="continuationSeparator" w:id="1">
    <w:p w:rsidR="00E569CF" w:rsidRPr="006A5F84" w:rsidRDefault="00E569CF">
      <w:r w:rsidRPr="006A5F84">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DA7385" w:rsidP="0047783A">
    <w:pPr>
      <w:pStyle w:val="Footer"/>
      <w:framePr w:wrap="around" w:vAnchor="text" w:hAnchor="margin" w:xAlign="right" w:y="1"/>
      <w:rPr>
        <w:rStyle w:val="PageNumber"/>
      </w:rPr>
    </w:pPr>
    <w:r>
      <w:rPr>
        <w:rStyle w:val="PageNumber"/>
      </w:rPr>
      <w:fldChar w:fldCharType="begin"/>
    </w:r>
    <w:r w:rsidR="004C51DD">
      <w:rPr>
        <w:rStyle w:val="PageNumber"/>
      </w:rPr>
      <w:instrText xml:space="preserve">PAGE  </w:instrText>
    </w:r>
    <w:r>
      <w:rPr>
        <w:rStyle w:val="PageNumber"/>
      </w:rPr>
      <w:fldChar w:fldCharType="separate"/>
    </w:r>
    <w:r w:rsidR="004C51DD">
      <w:rPr>
        <w:rStyle w:val="PageNumber"/>
        <w:noProof/>
      </w:rPr>
      <w:t>8</w:t>
    </w:r>
    <w:r>
      <w:rPr>
        <w:rStyle w:val="PageNumber"/>
      </w:rPr>
      <w:fldChar w:fldCharType="end"/>
    </w:r>
  </w:p>
  <w:p w:rsidR="004C51DD" w:rsidRDefault="004C51DD" w:rsidP="00477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DA7385" w:rsidRPr="006A5F84">
      <w:rPr>
        <w:sz w:val="18"/>
        <w:szCs w:val="18"/>
      </w:rPr>
      <w:fldChar w:fldCharType="begin"/>
    </w:r>
    <w:r w:rsidR="004C51DD" w:rsidRPr="006A5F84">
      <w:rPr>
        <w:sz w:val="18"/>
        <w:szCs w:val="18"/>
      </w:rPr>
      <w:instrText xml:space="preserve"> PAGE </w:instrText>
    </w:r>
    <w:r w:rsidR="00DA7385" w:rsidRPr="006A5F84">
      <w:rPr>
        <w:sz w:val="18"/>
        <w:szCs w:val="18"/>
      </w:rPr>
      <w:fldChar w:fldCharType="separate"/>
    </w:r>
    <w:r w:rsidR="00670B78">
      <w:rPr>
        <w:noProof/>
        <w:sz w:val="18"/>
        <w:szCs w:val="18"/>
      </w:rPr>
      <w:t>1</w:t>
    </w:r>
    <w:r w:rsidR="00DA7385" w:rsidRPr="006A5F84">
      <w:rPr>
        <w:sz w:val="18"/>
        <w:szCs w:val="18"/>
      </w:rPr>
      <w:fldChar w:fldCharType="end"/>
    </w:r>
    <w:r w:rsidR="004C51DD" w:rsidRPr="006A5F84">
      <w:rPr>
        <w:sz w:val="18"/>
        <w:szCs w:val="18"/>
      </w:rPr>
      <w:t xml:space="preserve"> of </w:t>
    </w:r>
    <w:r w:rsidR="00DA7385" w:rsidRPr="006A5F84">
      <w:rPr>
        <w:sz w:val="18"/>
        <w:szCs w:val="18"/>
      </w:rPr>
      <w:fldChar w:fldCharType="begin"/>
    </w:r>
    <w:r w:rsidR="004C51DD" w:rsidRPr="006A5F84">
      <w:rPr>
        <w:sz w:val="18"/>
        <w:szCs w:val="18"/>
      </w:rPr>
      <w:instrText xml:space="preserve"> NUMPAGES </w:instrText>
    </w:r>
    <w:r w:rsidR="00DA7385" w:rsidRPr="006A5F84">
      <w:rPr>
        <w:sz w:val="18"/>
        <w:szCs w:val="18"/>
      </w:rPr>
      <w:fldChar w:fldCharType="separate"/>
    </w:r>
    <w:r w:rsidR="00670B78">
      <w:rPr>
        <w:noProof/>
        <w:sz w:val="18"/>
        <w:szCs w:val="18"/>
      </w:rPr>
      <w:t>12</w:t>
    </w:r>
    <w:r w:rsidR="00DA7385" w:rsidRPr="006A5F84">
      <w:rPr>
        <w:sz w:val="18"/>
        <w:szCs w:val="18"/>
      </w:rPr>
      <w:fldChar w:fldCharType="end"/>
    </w:r>
  </w:p>
  <w:p w:rsidR="004C51DD" w:rsidRPr="006A5F84" w:rsidRDefault="00DA7385" w:rsidP="00601A79">
    <w:pPr>
      <w:pStyle w:val="Footer"/>
      <w:spacing w:after="0"/>
      <w:rPr>
        <w:szCs w:val="18"/>
      </w:rPr>
    </w:pPr>
    <w:r w:rsidRPr="00601A79">
      <w:rPr>
        <w:sz w:val="18"/>
        <w:szCs w:val="18"/>
      </w:rPr>
      <w:fldChar w:fldCharType="begin"/>
    </w:r>
    <w:r w:rsidR="004C51DD" w:rsidRPr="00601A79">
      <w:rPr>
        <w:sz w:val="18"/>
        <w:szCs w:val="18"/>
      </w:rPr>
      <w:instrText xml:space="preserve"> FILENAME </w:instrText>
    </w:r>
    <w:r w:rsidRPr="00601A79">
      <w:rPr>
        <w:sz w:val="18"/>
        <w:szCs w:val="18"/>
      </w:rPr>
      <w:fldChar w:fldCharType="separate"/>
    </w:r>
    <w:r w:rsidR="004C51DD">
      <w:rPr>
        <w:noProof/>
        <w:sz w:val="18"/>
        <w:szCs w:val="18"/>
      </w:rPr>
      <w:t>c4l_tenderform_en.doc</w:t>
    </w:r>
    <w:r w:rsidRPr="00601A79">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00DA7385" w:rsidRPr="006A5F84">
      <w:rPr>
        <w:sz w:val="18"/>
        <w:szCs w:val="18"/>
      </w:rPr>
      <w:fldChar w:fldCharType="begin"/>
    </w:r>
    <w:r w:rsidRPr="006A5F84">
      <w:rPr>
        <w:sz w:val="18"/>
        <w:szCs w:val="18"/>
      </w:rPr>
      <w:instrText xml:space="preserve"> PAGE </w:instrText>
    </w:r>
    <w:r w:rsidR="00DA7385" w:rsidRPr="006A5F84">
      <w:rPr>
        <w:sz w:val="18"/>
        <w:szCs w:val="18"/>
      </w:rPr>
      <w:fldChar w:fldCharType="separate"/>
    </w:r>
    <w:r w:rsidRPr="006A5F84">
      <w:rPr>
        <w:sz w:val="18"/>
        <w:szCs w:val="18"/>
      </w:rPr>
      <w:t>6</w:t>
    </w:r>
    <w:r w:rsidR="00DA7385" w:rsidRPr="006A5F84">
      <w:rPr>
        <w:sz w:val="18"/>
        <w:szCs w:val="18"/>
      </w:rPr>
      <w:fldChar w:fldCharType="end"/>
    </w:r>
    <w:r w:rsidRPr="006A5F84">
      <w:rPr>
        <w:sz w:val="18"/>
        <w:szCs w:val="18"/>
      </w:rPr>
      <w:t xml:space="preserve"> of </w:t>
    </w:r>
    <w:r w:rsidR="00DA7385" w:rsidRPr="006A5F84">
      <w:rPr>
        <w:sz w:val="18"/>
        <w:szCs w:val="18"/>
      </w:rPr>
      <w:fldChar w:fldCharType="begin"/>
    </w:r>
    <w:r w:rsidRPr="006A5F84">
      <w:rPr>
        <w:sz w:val="18"/>
        <w:szCs w:val="18"/>
      </w:rPr>
      <w:instrText xml:space="preserve"> NUMPAGES </w:instrText>
    </w:r>
    <w:r w:rsidR="00DA7385" w:rsidRPr="006A5F84">
      <w:rPr>
        <w:sz w:val="18"/>
        <w:szCs w:val="18"/>
      </w:rPr>
      <w:fldChar w:fldCharType="separate"/>
    </w:r>
    <w:r>
      <w:rPr>
        <w:noProof/>
        <w:sz w:val="18"/>
        <w:szCs w:val="18"/>
      </w:rPr>
      <w:t>10</w:t>
    </w:r>
    <w:r w:rsidR="00DA7385" w:rsidRPr="006A5F84">
      <w:rPr>
        <w:sz w:val="18"/>
        <w:szCs w:val="18"/>
      </w:rPr>
      <w:fldChar w:fldCharType="end"/>
    </w:r>
  </w:p>
  <w:p w:rsidR="004C51DD" w:rsidRPr="006A5F84" w:rsidRDefault="00DA7385" w:rsidP="0047783A">
    <w:pPr>
      <w:pStyle w:val="Footer"/>
      <w:spacing w:after="0"/>
      <w:rPr>
        <w:szCs w:val="18"/>
      </w:rPr>
    </w:pPr>
    <w:r w:rsidRPr="006A5F84">
      <w:rPr>
        <w:sz w:val="18"/>
        <w:szCs w:val="18"/>
      </w:rPr>
      <w:fldChar w:fldCharType="begin"/>
    </w:r>
    <w:r w:rsidR="004C51DD" w:rsidRPr="006A5F84">
      <w:rPr>
        <w:sz w:val="18"/>
        <w:szCs w:val="18"/>
      </w:rPr>
      <w:instrText xml:space="preserve"> FILENAME </w:instrText>
    </w:r>
    <w:r w:rsidRPr="006A5F84">
      <w:rPr>
        <w:sz w:val="18"/>
        <w:szCs w:val="18"/>
      </w:rPr>
      <w:fldChar w:fldCharType="separate"/>
    </w:r>
    <w:r w:rsidR="004C51DD">
      <w:rPr>
        <w:noProof/>
        <w:sz w:val="18"/>
        <w:szCs w:val="18"/>
      </w:rPr>
      <w:t>c4_l_tenderform_en.doc</w:t>
    </w:r>
    <w:r w:rsidRPr="006A5F84">
      <w:rPr>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DA7385" w:rsidP="0047783A">
    <w:pPr>
      <w:pStyle w:val="Footer"/>
      <w:framePr w:wrap="around" w:vAnchor="text" w:hAnchor="margin" w:xAlign="right" w:y="1"/>
      <w:rPr>
        <w:rStyle w:val="PageNumber"/>
      </w:rPr>
    </w:pPr>
    <w:r>
      <w:rPr>
        <w:rStyle w:val="PageNumber"/>
      </w:rPr>
      <w:fldChar w:fldCharType="begin"/>
    </w:r>
    <w:r w:rsidR="004C51DD">
      <w:rPr>
        <w:rStyle w:val="PageNumber"/>
      </w:rPr>
      <w:instrText xml:space="preserve">PAGE  </w:instrText>
    </w:r>
    <w:r>
      <w:rPr>
        <w:rStyle w:val="PageNumber"/>
      </w:rPr>
      <w:fldChar w:fldCharType="separate"/>
    </w:r>
    <w:r w:rsidR="004C51DD">
      <w:rPr>
        <w:rStyle w:val="PageNumber"/>
        <w:noProof/>
      </w:rPr>
      <w:t>8</w:t>
    </w:r>
    <w:r>
      <w:rPr>
        <w:rStyle w:val="PageNumber"/>
      </w:rPr>
      <w:fldChar w:fldCharType="end"/>
    </w:r>
  </w:p>
  <w:p w:rsidR="004C51DD" w:rsidRDefault="004C51DD" w:rsidP="0047783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DA7385" w:rsidRPr="006A5F84">
      <w:rPr>
        <w:sz w:val="18"/>
        <w:szCs w:val="18"/>
      </w:rPr>
      <w:fldChar w:fldCharType="begin"/>
    </w:r>
    <w:r w:rsidR="004C51DD" w:rsidRPr="006A5F84">
      <w:rPr>
        <w:sz w:val="18"/>
        <w:szCs w:val="18"/>
      </w:rPr>
      <w:instrText xml:space="preserve"> PAGE </w:instrText>
    </w:r>
    <w:r w:rsidR="00DA7385" w:rsidRPr="006A5F84">
      <w:rPr>
        <w:sz w:val="18"/>
        <w:szCs w:val="18"/>
      </w:rPr>
      <w:fldChar w:fldCharType="separate"/>
    </w:r>
    <w:r w:rsidR="00670B78">
      <w:rPr>
        <w:noProof/>
        <w:sz w:val="18"/>
        <w:szCs w:val="18"/>
      </w:rPr>
      <w:t>6</w:t>
    </w:r>
    <w:r w:rsidR="00DA7385" w:rsidRPr="006A5F84">
      <w:rPr>
        <w:sz w:val="18"/>
        <w:szCs w:val="18"/>
      </w:rPr>
      <w:fldChar w:fldCharType="end"/>
    </w:r>
    <w:r w:rsidR="004C51DD" w:rsidRPr="006A5F84">
      <w:rPr>
        <w:sz w:val="18"/>
        <w:szCs w:val="18"/>
      </w:rPr>
      <w:t xml:space="preserve"> of </w:t>
    </w:r>
    <w:r w:rsidR="00DA7385" w:rsidRPr="006A5F84">
      <w:rPr>
        <w:sz w:val="18"/>
        <w:szCs w:val="18"/>
      </w:rPr>
      <w:fldChar w:fldCharType="begin"/>
    </w:r>
    <w:r w:rsidR="004C51DD" w:rsidRPr="006A5F84">
      <w:rPr>
        <w:sz w:val="18"/>
        <w:szCs w:val="18"/>
      </w:rPr>
      <w:instrText xml:space="preserve"> NUMPAGES </w:instrText>
    </w:r>
    <w:r w:rsidR="00DA7385" w:rsidRPr="006A5F84">
      <w:rPr>
        <w:sz w:val="18"/>
        <w:szCs w:val="18"/>
      </w:rPr>
      <w:fldChar w:fldCharType="separate"/>
    </w:r>
    <w:r w:rsidR="00670B78">
      <w:rPr>
        <w:noProof/>
        <w:sz w:val="18"/>
        <w:szCs w:val="18"/>
      </w:rPr>
      <w:t>6</w:t>
    </w:r>
    <w:r w:rsidR="00DA7385" w:rsidRPr="006A5F84">
      <w:rPr>
        <w:sz w:val="18"/>
        <w:szCs w:val="18"/>
      </w:rPr>
      <w:fldChar w:fldCharType="end"/>
    </w:r>
  </w:p>
  <w:p w:rsidR="004C51DD" w:rsidRPr="006A5F84" w:rsidRDefault="00DA7385" w:rsidP="0047783A">
    <w:pPr>
      <w:pStyle w:val="Footer"/>
      <w:spacing w:after="0"/>
      <w:rPr>
        <w:szCs w:val="18"/>
      </w:rPr>
    </w:pPr>
    <w:r w:rsidRPr="00601A79">
      <w:rPr>
        <w:sz w:val="18"/>
        <w:szCs w:val="18"/>
      </w:rPr>
      <w:fldChar w:fldCharType="begin"/>
    </w:r>
    <w:r w:rsidR="004C51DD" w:rsidRPr="00601A79">
      <w:rPr>
        <w:sz w:val="18"/>
        <w:szCs w:val="18"/>
      </w:rPr>
      <w:instrText xml:space="preserve"> FILENAME </w:instrText>
    </w:r>
    <w:r w:rsidRPr="00601A79">
      <w:rPr>
        <w:sz w:val="18"/>
        <w:szCs w:val="18"/>
      </w:rPr>
      <w:fldChar w:fldCharType="separate"/>
    </w:r>
    <w:r w:rsidR="004C51DD">
      <w:rPr>
        <w:noProof/>
        <w:sz w:val="18"/>
        <w:szCs w:val="18"/>
      </w:rPr>
      <w:t>c4_l_tenderform_en.doc</w:t>
    </w:r>
    <w:r w:rsidRPr="00601A79">
      <w:rPr>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DA7385" w:rsidRPr="006A5F84">
      <w:rPr>
        <w:sz w:val="18"/>
        <w:szCs w:val="18"/>
      </w:rPr>
      <w:fldChar w:fldCharType="begin"/>
    </w:r>
    <w:r w:rsidR="004C51DD" w:rsidRPr="006A5F84">
      <w:rPr>
        <w:sz w:val="18"/>
        <w:szCs w:val="18"/>
      </w:rPr>
      <w:instrText xml:space="preserve"> PAGE </w:instrText>
    </w:r>
    <w:r w:rsidR="00DA7385" w:rsidRPr="006A5F84">
      <w:rPr>
        <w:sz w:val="18"/>
        <w:szCs w:val="18"/>
      </w:rPr>
      <w:fldChar w:fldCharType="separate"/>
    </w:r>
    <w:r w:rsidR="00670B78">
      <w:rPr>
        <w:noProof/>
        <w:sz w:val="18"/>
        <w:szCs w:val="18"/>
      </w:rPr>
      <w:t>5</w:t>
    </w:r>
    <w:r w:rsidR="00DA7385" w:rsidRPr="006A5F84">
      <w:rPr>
        <w:sz w:val="18"/>
        <w:szCs w:val="18"/>
      </w:rPr>
      <w:fldChar w:fldCharType="end"/>
    </w:r>
    <w:r w:rsidR="004C51DD" w:rsidRPr="006A5F84">
      <w:rPr>
        <w:sz w:val="18"/>
        <w:szCs w:val="18"/>
      </w:rPr>
      <w:t xml:space="preserve"> of </w:t>
    </w:r>
    <w:r w:rsidR="00DA7385" w:rsidRPr="006A5F84">
      <w:rPr>
        <w:sz w:val="18"/>
        <w:szCs w:val="18"/>
      </w:rPr>
      <w:fldChar w:fldCharType="begin"/>
    </w:r>
    <w:r w:rsidR="004C51DD" w:rsidRPr="006A5F84">
      <w:rPr>
        <w:sz w:val="18"/>
        <w:szCs w:val="18"/>
      </w:rPr>
      <w:instrText xml:space="preserve"> NUMPAGES </w:instrText>
    </w:r>
    <w:r w:rsidR="00DA7385" w:rsidRPr="006A5F84">
      <w:rPr>
        <w:sz w:val="18"/>
        <w:szCs w:val="18"/>
      </w:rPr>
      <w:fldChar w:fldCharType="separate"/>
    </w:r>
    <w:r w:rsidR="00670B78">
      <w:rPr>
        <w:noProof/>
        <w:sz w:val="18"/>
        <w:szCs w:val="18"/>
      </w:rPr>
      <w:t>5</w:t>
    </w:r>
    <w:r w:rsidR="00DA7385" w:rsidRPr="006A5F84">
      <w:rPr>
        <w:sz w:val="18"/>
        <w:szCs w:val="18"/>
      </w:rPr>
      <w:fldChar w:fldCharType="end"/>
    </w:r>
  </w:p>
  <w:p w:rsidR="004C51DD" w:rsidRPr="006A5F84" w:rsidRDefault="00DA7385" w:rsidP="0047783A">
    <w:pPr>
      <w:pStyle w:val="Footer"/>
      <w:spacing w:after="0"/>
      <w:rPr>
        <w:szCs w:val="18"/>
      </w:rPr>
    </w:pPr>
    <w:r w:rsidRPr="00601A79">
      <w:rPr>
        <w:sz w:val="18"/>
        <w:szCs w:val="18"/>
      </w:rPr>
      <w:fldChar w:fldCharType="begin"/>
    </w:r>
    <w:r w:rsidR="004C51DD" w:rsidRPr="00601A79">
      <w:rPr>
        <w:sz w:val="18"/>
        <w:szCs w:val="18"/>
      </w:rPr>
      <w:instrText xml:space="preserve"> FILENAME </w:instrText>
    </w:r>
    <w:r w:rsidRPr="00601A79">
      <w:rPr>
        <w:sz w:val="18"/>
        <w:szCs w:val="18"/>
      </w:rPr>
      <w:fldChar w:fldCharType="separate"/>
    </w:r>
    <w:r w:rsidR="004C51DD">
      <w:rPr>
        <w:noProof/>
        <w:sz w:val="18"/>
        <w:szCs w:val="18"/>
      </w:rPr>
      <w:t>c4l_tenderform_en.doc</w:t>
    </w:r>
    <w:r w:rsidRPr="00601A79">
      <w:rPr>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DA7385" w:rsidP="0047783A">
    <w:pPr>
      <w:pStyle w:val="Footer"/>
      <w:framePr w:wrap="around" w:vAnchor="text" w:hAnchor="margin" w:xAlign="right" w:y="1"/>
      <w:rPr>
        <w:rStyle w:val="PageNumber"/>
      </w:rPr>
    </w:pPr>
    <w:r>
      <w:rPr>
        <w:rStyle w:val="PageNumber"/>
      </w:rPr>
      <w:fldChar w:fldCharType="begin"/>
    </w:r>
    <w:r w:rsidR="004C51DD">
      <w:rPr>
        <w:rStyle w:val="PageNumber"/>
      </w:rPr>
      <w:instrText xml:space="preserve">PAGE  </w:instrText>
    </w:r>
    <w:r>
      <w:rPr>
        <w:rStyle w:val="PageNumber"/>
      </w:rPr>
      <w:fldChar w:fldCharType="separate"/>
    </w:r>
    <w:r w:rsidR="004C51DD">
      <w:rPr>
        <w:rStyle w:val="PageNumber"/>
        <w:noProof/>
      </w:rPr>
      <w:t>2</w:t>
    </w:r>
    <w:r>
      <w:rPr>
        <w:rStyle w:val="PageNumber"/>
      </w:rPr>
      <w:fldChar w:fldCharType="end"/>
    </w:r>
  </w:p>
  <w:p w:rsidR="004C51DD" w:rsidRDefault="004C51DD" w:rsidP="0047783A">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DA7385" w:rsidRPr="00601A79">
      <w:rPr>
        <w:rStyle w:val="PageNumber"/>
        <w:sz w:val="18"/>
        <w:szCs w:val="18"/>
      </w:rPr>
      <w:fldChar w:fldCharType="begin"/>
    </w:r>
    <w:r w:rsidR="004C51DD" w:rsidRPr="00601A79">
      <w:rPr>
        <w:rStyle w:val="PageNumber"/>
        <w:sz w:val="18"/>
        <w:szCs w:val="18"/>
      </w:rPr>
      <w:instrText xml:space="preserve"> PAGE </w:instrText>
    </w:r>
    <w:r w:rsidR="00DA7385" w:rsidRPr="00601A79">
      <w:rPr>
        <w:rStyle w:val="PageNumber"/>
        <w:sz w:val="18"/>
        <w:szCs w:val="18"/>
      </w:rPr>
      <w:fldChar w:fldCharType="separate"/>
    </w:r>
    <w:r w:rsidR="00670B78">
      <w:rPr>
        <w:rStyle w:val="PageNumber"/>
        <w:noProof/>
        <w:sz w:val="18"/>
        <w:szCs w:val="18"/>
      </w:rPr>
      <w:t>12</w:t>
    </w:r>
    <w:r w:rsidR="00DA7385" w:rsidRPr="00601A79">
      <w:rPr>
        <w:rStyle w:val="PageNumber"/>
        <w:sz w:val="18"/>
        <w:szCs w:val="18"/>
      </w:rPr>
      <w:fldChar w:fldCharType="end"/>
    </w:r>
    <w:r w:rsidR="004C51DD" w:rsidRPr="00601A79">
      <w:rPr>
        <w:rStyle w:val="PageNumber"/>
        <w:sz w:val="18"/>
        <w:szCs w:val="18"/>
      </w:rPr>
      <w:t xml:space="preserve"> of </w:t>
    </w:r>
    <w:r w:rsidR="00DA7385" w:rsidRPr="00601A79">
      <w:rPr>
        <w:rStyle w:val="PageNumber"/>
        <w:sz w:val="18"/>
        <w:szCs w:val="18"/>
      </w:rPr>
      <w:fldChar w:fldCharType="begin"/>
    </w:r>
    <w:r w:rsidR="004C51DD" w:rsidRPr="00601A79">
      <w:rPr>
        <w:rStyle w:val="PageNumber"/>
        <w:sz w:val="18"/>
        <w:szCs w:val="18"/>
      </w:rPr>
      <w:instrText xml:space="preserve"> NUMPAGES </w:instrText>
    </w:r>
    <w:r w:rsidR="00DA7385" w:rsidRPr="00601A79">
      <w:rPr>
        <w:rStyle w:val="PageNumber"/>
        <w:sz w:val="18"/>
        <w:szCs w:val="18"/>
      </w:rPr>
      <w:fldChar w:fldCharType="separate"/>
    </w:r>
    <w:r w:rsidR="00670B78">
      <w:rPr>
        <w:rStyle w:val="PageNumber"/>
        <w:noProof/>
        <w:sz w:val="18"/>
        <w:szCs w:val="18"/>
      </w:rPr>
      <w:t>12</w:t>
    </w:r>
    <w:r w:rsidR="00DA7385" w:rsidRPr="00601A79">
      <w:rPr>
        <w:rStyle w:val="PageNumber"/>
        <w:sz w:val="18"/>
        <w:szCs w:val="18"/>
      </w:rPr>
      <w:fldChar w:fldCharType="end"/>
    </w:r>
  </w:p>
  <w:p w:rsidR="004C51DD" w:rsidRPr="00601A79" w:rsidRDefault="00DA7385" w:rsidP="00601A79">
    <w:pPr>
      <w:spacing w:after="0"/>
      <w:rPr>
        <w:sz w:val="18"/>
        <w:szCs w:val="18"/>
      </w:rPr>
    </w:pPr>
    <w:r w:rsidRPr="00601A79">
      <w:rPr>
        <w:sz w:val="18"/>
        <w:szCs w:val="18"/>
      </w:rPr>
      <w:fldChar w:fldCharType="begin"/>
    </w:r>
    <w:r w:rsidR="004C51DD"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DA7385" w:rsidRPr="00601A79">
      <w:rPr>
        <w:rStyle w:val="PageNumber"/>
        <w:sz w:val="18"/>
        <w:szCs w:val="18"/>
      </w:rPr>
      <w:fldChar w:fldCharType="begin"/>
    </w:r>
    <w:r w:rsidR="004C51DD" w:rsidRPr="00601A79">
      <w:rPr>
        <w:rStyle w:val="PageNumber"/>
        <w:sz w:val="18"/>
        <w:szCs w:val="18"/>
      </w:rPr>
      <w:instrText xml:space="preserve"> PAGE </w:instrText>
    </w:r>
    <w:r w:rsidR="00DA7385" w:rsidRPr="00601A79">
      <w:rPr>
        <w:rStyle w:val="PageNumber"/>
        <w:sz w:val="18"/>
        <w:szCs w:val="18"/>
      </w:rPr>
      <w:fldChar w:fldCharType="separate"/>
    </w:r>
    <w:r w:rsidR="00670B78">
      <w:rPr>
        <w:rStyle w:val="PageNumber"/>
        <w:noProof/>
        <w:sz w:val="18"/>
        <w:szCs w:val="18"/>
      </w:rPr>
      <w:t>7</w:t>
    </w:r>
    <w:r w:rsidR="00DA7385" w:rsidRPr="00601A79">
      <w:rPr>
        <w:rStyle w:val="PageNumber"/>
        <w:sz w:val="18"/>
        <w:szCs w:val="18"/>
      </w:rPr>
      <w:fldChar w:fldCharType="end"/>
    </w:r>
    <w:r w:rsidR="004C51DD" w:rsidRPr="00601A79">
      <w:rPr>
        <w:rStyle w:val="PageNumber"/>
        <w:sz w:val="18"/>
        <w:szCs w:val="18"/>
      </w:rPr>
      <w:t xml:space="preserve"> of </w:t>
    </w:r>
    <w:r w:rsidR="00DA7385" w:rsidRPr="00601A79">
      <w:rPr>
        <w:rStyle w:val="PageNumber"/>
        <w:sz w:val="18"/>
        <w:szCs w:val="18"/>
      </w:rPr>
      <w:fldChar w:fldCharType="begin"/>
    </w:r>
    <w:r w:rsidR="004C51DD" w:rsidRPr="00601A79">
      <w:rPr>
        <w:rStyle w:val="PageNumber"/>
        <w:sz w:val="18"/>
        <w:szCs w:val="18"/>
      </w:rPr>
      <w:instrText xml:space="preserve"> NUMPAGES </w:instrText>
    </w:r>
    <w:r w:rsidR="00DA7385" w:rsidRPr="00601A79">
      <w:rPr>
        <w:rStyle w:val="PageNumber"/>
        <w:sz w:val="18"/>
        <w:szCs w:val="18"/>
      </w:rPr>
      <w:fldChar w:fldCharType="separate"/>
    </w:r>
    <w:r w:rsidR="00670B78">
      <w:rPr>
        <w:rStyle w:val="PageNumber"/>
        <w:noProof/>
        <w:sz w:val="18"/>
        <w:szCs w:val="18"/>
      </w:rPr>
      <w:t>7</w:t>
    </w:r>
    <w:r w:rsidR="00DA7385" w:rsidRPr="00601A79">
      <w:rPr>
        <w:rStyle w:val="PageNumber"/>
        <w:sz w:val="18"/>
        <w:szCs w:val="18"/>
      </w:rPr>
      <w:fldChar w:fldCharType="end"/>
    </w:r>
  </w:p>
  <w:p w:rsidR="004C51DD" w:rsidRPr="00601A79" w:rsidRDefault="00DA7385" w:rsidP="00601A79">
    <w:pPr>
      <w:pStyle w:val="Footer"/>
      <w:tabs>
        <w:tab w:val="clear" w:pos="8640"/>
        <w:tab w:val="right" w:pos="8505"/>
      </w:tabs>
      <w:spacing w:after="0"/>
      <w:rPr>
        <w:sz w:val="18"/>
        <w:szCs w:val="18"/>
      </w:rPr>
    </w:pPr>
    <w:r w:rsidRPr="00601A79">
      <w:rPr>
        <w:rStyle w:val="PageNumber"/>
        <w:sz w:val="18"/>
        <w:szCs w:val="18"/>
      </w:rPr>
      <w:fldChar w:fldCharType="begin"/>
    </w:r>
    <w:r w:rsidR="004C51DD" w:rsidRPr="00601A79">
      <w:rPr>
        <w:rStyle w:val="PageNumber"/>
        <w:sz w:val="18"/>
        <w:szCs w:val="18"/>
      </w:rPr>
      <w:instrText xml:space="preserve"> FILENAME </w:instrText>
    </w:r>
    <w:r w:rsidRPr="00601A79">
      <w:rPr>
        <w:rStyle w:val="PageNumber"/>
        <w:sz w:val="18"/>
        <w:szCs w:val="18"/>
      </w:rPr>
      <w:fldChar w:fldCharType="separate"/>
    </w:r>
    <w:r w:rsidR="004C51DD">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CF" w:rsidRPr="006A5F84" w:rsidRDefault="00E569CF">
      <w:r w:rsidRPr="006A5F84">
        <w:separator/>
      </w:r>
    </w:p>
  </w:footnote>
  <w:footnote w:type="continuationSeparator" w:id="1">
    <w:p w:rsidR="00E569CF" w:rsidRPr="006A5F84" w:rsidRDefault="00E569CF">
      <w:r w:rsidRPr="006A5F84">
        <w:continuationSeparator/>
      </w:r>
    </w:p>
  </w:footnote>
  <w:footnote w:id="2">
    <w:p w:rsidR="004C51DD" w:rsidRPr="006A5F84" w:rsidRDefault="004C51DD" w:rsidP="00DC608A">
      <w:r w:rsidRPr="006A5F84">
        <w:rPr>
          <w:rStyle w:val="FootnoteReference"/>
        </w:rPr>
        <w:footnoteRef/>
      </w:r>
      <w:r w:rsidRPr="006A5F84">
        <w:t>Country in which the legal entity is registered</w:t>
      </w:r>
      <w:r>
        <w:t>.</w:t>
      </w:r>
    </w:p>
  </w:footnote>
  <w:footnote w:id="3">
    <w:p w:rsidR="004C51DD" w:rsidRPr="006A5F84" w:rsidRDefault="004C51DD" w:rsidP="00D0611C">
      <w:pPr>
        <w:tabs>
          <w:tab w:val="left" w:pos="0"/>
        </w:tabs>
        <w:jc w:val="both"/>
      </w:pPr>
      <w:r w:rsidRPr="006A5F84">
        <w:rPr>
          <w:rStyle w:val="FootnoteReference"/>
        </w:rPr>
        <w:footnoteRef/>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4">
    <w:p w:rsidR="004C51DD" w:rsidRPr="006A5F84" w:rsidRDefault="004C51DD" w:rsidP="00DC608A">
      <w:pPr>
        <w:spacing w:after="60"/>
      </w:pPr>
      <w:r w:rsidRPr="006A5F84">
        <w:rPr>
          <w:rStyle w:val="FootnoteReference"/>
        </w:rPr>
        <w:footnoteRef/>
      </w:r>
      <w:r w:rsidRPr="006A5F84">
        <w:t>Natural persons have to prove their capacity in accordance with the selection criteria and by the appropriate means.</w:t>
      </w:r>
    </w:p>
  </w:footnote>
  <w:footnote w:id="5">
    <w:p w:rsidR="004C51DD" w:rsidRPr="006A5F84" w:rsidRDefault="004C51DD" w:rsidP="00DC608A">
      <w:pPr>
        <w:spacing w:after="60"/>
        <w:jc w:val="both"/>
      </w:pPr>
      <w:r w:rsidRPr="006A5F84">
        <w:rPr>
          <w:rStyle w:val="FootnoteReference"/>
        </w:rPr>
        <w:footnoteRef/>
      </w:r>
      <w:r>
        <w:t>I</w:t>
      </w:r>
      <w:r w:rsidRPr="006A5F84">
        <w:t>f this</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6">
    <w:p w:rsidR="00B34C65" w:rsidRPr="006A5F84" w:rsidRDefault="00B34C65" w:rsidP="00DC608A">
      <w:pPr>
        <w:spacing w:after="60"/>
      </w:pPr>
      <w:r w:rsidRPr="006A5F84">
        <w:rPr>
          <w:rStyle w:val="FootnoteReference"/>
        </w:rPr>
        <w:footnoteRef/>
      </w:r>
      <w:r w:rsidRPr="006A5F84">
        <w:t xml:space="preserve">Last year=last accounting year for </w:t>
      </w:r>
      <w:r>
        <w:t xml:space="preserve">which the </w:t>
      </w:r>
      <w:r w:rsidRPr="00EB4554">
        <w:t>entity</w:t>
      </w:r>
      <w:r>
        <w:t>'s accounts have been closed</w:t>
      </w:r>
      <w:r w:rsidRPr="006A5F84">
        <w:t>.</w:t>
      </w:r>
    </w:p>
  </w:footnote>
  <w:footnote w:id="7">
    <w:p w:rsidR="00B34C65" w:rsidRPr="006A5F84" w:rsidRDefault="00B34C65" w:rsidP="00DC608A">
      <w:pPr>
        <w:spacing w:after="60"/>
      </w:pPr>
      <w:r w:rsidRPr="006A5F84">
        <w:rPr>
          <w:rStyle w:val="FootnoteReference"/>
        </w:rPr>
        <w:footnoteRef/>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8">
    <w:p w:rsidR="00B34C65" w:rsidRPr="006A5F84" w:rsidRDefault="00B34C65" w:rsidP="00DC608A">
      <w:pPr>
        <w:spacing w:after="60"/>
      </w:pPr>
      <w:r w:rsidRPr="006A5F84">
        <w:rPr>
          <w:rStyle w:val="FootnoteReference"/>
        </w:rPr>
        <w:footnoteRef/>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9">
    <w:p w:rsidR="00B34C65" w:rsidRPr="006A5F84" w:rsidRDefault="00B34C65" w:rsidP="00DC608A">
      <w:pPr>
        <w:spacing w:after="60"/>
        <w:jc w:val="both"/>
      </w:pPr>
      <w:r w:rsidRPr="006A5F84">
        <w:rPr>
          <w:rStyle w:val="FootnoteReference"/>
        </w:rPr>
        <w:footnoteRef/>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0">
    <w:p w:rsidR="00B34C65" w:rsidRPr="006A5F84" w:rsidRDefault="00B34C65" w:rsidP="00DC608A">
      <w:pPr>
        <w:jc w:val="both"/>
      </w:pPr>
      <w:r w:rsidRPr="006A5F84">
        <w:rPr>
          <w:rStyle w:val="FootnoteReference"/>
        </w:rPr>
        <w:footnoteRef/>
      </w:r>
      <w:r w:rsidRPr="00AC74AC">
        <w:t>A company's debts or obligations that are due within one year. Current liabilities appear on the company's balance sheet and include short term debt, accounts payable, accrued liabilities and other debts.</w:t>
      </w:r>
    </w:p>
  </w:footnote>
  <w:footnote w:id="11">
    <w:p w:rsidR="004C51DD" w:rsidRPr="006A5F84" w:rsidRDefault="004C51DD" w:rsidP="00DC608A">
      <w:pPr>
        <w:spacing w:after="60"/>
        <w:jc w:val="both"/>
      </w:pPr>
      <w:r w:rsidRPr="006A5F84">
        <w:rPr>
          <w:rStyle w:val="FootnoteReference"/>
        </w:rPr>
        <w:footnoteRef/>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2">
    <w:p w:rsidR="00374C87" w:rsidRPr="006A5F84" w:rsidRDefault="00374C87" w:rsidP="00DC608A">
      <w:pPr>
        <w:spacing w:after="60"/>
        <w:jc w:val="both"/>
      </w:pPr>
      <w:r w:rsidRPr="006A5F84">
        <w:rPr>
          <w:rStyle w:val="FootnoteReference"/>
        </w:rPr>
        <w:footnoteRef/>
      </w:r>
      <w:r w:rsidRPr="006A5F84">
        <w:t>Corresponding to the relevant specialisms identified in point 5 below.</w:t>
      </w:r>
    </w:p>
  </w:footnote>
  <w:footnote w:id="13">
    <w:p w:rsidR="00374C87" w:rsidRPr="006A5F84" w:rsidRDefault="00374C87" w:rsidP="00DC608A">
      <w:pPr>
        <w:spacing w:after="60"/>
        <w:jc w:val="both"/>
      </w:pPr>
      <w:r w:rsidRPr="006A5F84">
        <w:rPr>
          <w:rStyle w:val="FootnoteReference"/>
        </w:rPr>
        <w:footnoteRef/>
      </w:r>
      <w:r w:rsidR="002D26F0" w:rsidRPr="00A45A0D">
        <w:t>P</w:t>
      </w:r>
      <w:r w:rsidR="002D26F0" w:rsidRPr="004F0604">
        <w:t>ersonnel</w:t>
      </w:r>
      <w:r w:rsidRPr="00A45A0D">
        <w:t xml:space="preserve"> directly</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4">
    <w:p w:rsidR="00374C87" w:rsidRPr="006A5F84" w:rsidRDefault="00374C87" w:rsidP="00DC608A">
      <w:pPr>
        <w:jc w:val="both"/>
      </w:pPr>
      <w:r w:rsidRPr="006A5F84">
        <w:rPr>
          <w:rStyle w:val="FootnoteReference"/>
        </w:rPr>
        <w:footnoteRef/>
      </w:r>
      <w:r>
        <w:t>O</w:t>
      </w:r>
      <w:r w:rsidRPr="006A5F84">
        <w:t xml:space="preserve">ther </w:t>
      </w:r>
      <w:r w:rsidR="002D26F0">
        <w:t xml:space="preserve">personnel </w:t>
      </w:r>
      <w:r w:rsidRPr="006A5F84">
        <w:t xml:space="preserve"> directlyemployed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5">
    <w:p w:rsidR="004C51DD" w:rsidRPr="006A5F84" w:rsidRDefault="004C51DD" w:rsidP="00DC608A">
      <w:r w:rsidRPr="006A5F84">
        <w:rPr>
          <w:rStyle w:val="FootnoteReference"/>
        </w:rPr>
        <w:footnoteRef/>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6">
    <w:p w:rsidR="004C51DD" w:rsidRPr="006A5F84" w:rsidRDefault="004C51DD" w:rsidP="00DC608A">
      <w:pPr>
        <w:jc w:val="both"/>
      </w:pPr>
      <w:r>
        <w:rPr>
          <w:rStyle w:val="FootnoteReference"/>
          <w:color w:val="000000"/>
        </w:rPr>
        <w:footnoteRef/>
      </w:r>
      <w:r w:rsidR="00A45A0D">
        <w:rPr>
          <w:color w:val="000000"/>
          <w:lang w:val="en-IE"/>
        </w:rPr>
        <w:t>References must be contracts implemented by the legal entity (or legal entities) submitting the</w:t>
      </w:r>
      <w:r w:rsidR="00D42267">
        <w:rPr>
          <w:color w:val="000000"/>
          <w:lang w:val="en-IE"/>
        </w:rPr>
        <w:t xml:space="preserve">-tender form </w:t>
      </w:r>
      <w:r w:rsidR="00A45A0D">
        <w:rPr>
          <w:color w:val="000000"/>
          <w:lang w:val="en-IE"/>
        </w:rPr>
        <w:t xml:space="preserve">(with the exception of documented cases of company buyout or universal succession). </w:t>
      </w:r>
      <w:r>
        <w:rPr>
          <w:color w:val="000000"/>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7">
    <w:p w:rsidR="004C51DD" w:rsidRPr="006A5F84" w:rsidRDefault="004C51DD" w:rsidP="00DC608A">
      <w:r w:rsidRPr="006A5F84">
        <w:rPr>
          <w:rStyle w:val="FootnoteReference"/>
        </w:rPr>
        <w:footnoteRef/>
      </w:r>
      <w:r w:rsidRPr="006A5F84">
        <w:t>Amounts actually paid, w</w:t>
      </w:r>
      <w:r>
        <w:t>ithout the effect of inflation.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33" w:rsidRDefault="00CD1C1F">
    <w:pPr>
      <w:pStyle w:val="Header"/>
    </w:pPr>
    <w:r>
      <w:rPr>
        <w:noProof/>
        <w:snapToGrid/>
        <w:lang w:val="mk-MK" w:eastAsia="mk-MK"/>
      </w:rPr>
      <w:drawing>
        <wp:anchor distT="0" distB="0" distL="114300" distR="114300" simplePos="0" relativeHeight="251659264" behindDoc="1" locked="0" layoutInCell="1" allowOverlap="1">
          <wp:simplePos x="0" y="0"/>
          <wp:positionH relativeFrom="column">
            <wp:posOffset>41910</wp:posOffset>
          </wp:positionH>
          <wp:positionV relativeFrom="paragraph">
            <wp:posOffset>-342900</wp:posOffset>
          </wp:positionV>
          <wp:extent cx="647700" cy="619125"/>
          <wp:effectExtent l="19050" t="0" r="0"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a:srcRect l="1231" t="1231" r="1231" b="1231"/>
                  <a:stretch>
                    <a:fillRect/>
                  </a:stretch>
                </pic:blipFill>
                <pic:spPr bwMode="auto">
                  <a:xfrm>
                    <a:off x="0" y="0"/>
                    <a:ext cx="647700" cy="619125"/>
                  </a:xfrm>
                  <a:prstGeom prst="rect">
                    <a:avLst/>
                  </a:prstGeom>
                  <a:solidFill>
                    <a:srgbClr val="000000"/>
                  </a:solidFill>
                </pic:spPr>
              </pic:pic>
            </a:graphicData>
          </a:graphic>
        </wp:anchor>
      </w:drawing>
    </w:r>
    <w:r>
      <w:rPr>
        <w:noProof/>
        <w:snapToGrid/>
        <w:lang w:val="mk-MK" w:eastAsia="mk-MK"/>
      </w:rPr>
      <w:drawing>
        <wp:anchor distT="0" distB="0" distL="114300" distR="114300" simplePos="0" relativeHeight="251658240" behindDoc="0" locked="0" layoutInCell="1" allowOverlap="1">
          <wp:simplePos x="0" y="0"/>
          <wp:positionH relativeFrom="column">
            <wp:posOffset>4294272</wp:posOffset>
          </wp:positionH>
          <wp:positionV relativeFrom="paragraph">
            <wp:posOffset>-400050</wp:posOffset>
          </wp:positionV>
          <wp:extent cx="2228850" cy="8191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28850" cy="8191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D" w:rsidRDefault="004C51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4-EN-REV-00.DOC"/>
  </w:docVars>
  <w:rsids>
    <w:rsidRoot w:val="0073450F"/>
    <w:rsid w:val="000021E1"/>
    <w:rsid w:val="0001539E"/>
    <w:rsid w:val="00020E9A"/>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029E9"/>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3E90"/>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0B78"/>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E6CCA"/>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251B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94890"/>
    <w:rsid w:val="00CA1354"/>
    <w:rsid w:val="00CA6C68"/>
    <w:rsid w:val="00CB5186"/>
    <w:rsid w:val="00CC57EC"/>
    <w:rsid w:val="00CC7DE2"/>
    <w:rsid w:val="00CD1C1F"/>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85787"/>
    <w:rsid w:val="00D90043"/>
    <w:rsid w:val="00D93C63"/>
    <w:rsid w:val="00D95523"/>
    <w:rsid w:val="00D979C6"/>
    <w:rsid w:val="00DA4AB8"/>
    <w:rsid w:val="00DA7385"/>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69CF"/>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11C"/>
    <w:pPr>
      <w:spacing w:after="120"/>
    </w:pPr>
    <w:rPr>
      <w:snapToGrid w:val="0"/>
      <w:lang w:val="en-GB" w:eastAsia="en-US"/>
    </w:rPr>
  </w:style>
  <w:style w:type="paragraph" w:styleId="Heading1">
    <w:name w:val="heading 1"/>
    <w:basedOn w:val="Normal"/>
    <w:next w:val="Normal"/>
    <w:link w:val="Heading1Char1"/>
    <w:qFormat/>
    <w:rsid w:val="00D85787"/>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rsid w:val="00D85787"/>
    <w:pPr>
      <w:keepNext/>
      <w:outlineLvl w:val="1"/>
    </w:pPr>
    <w:rPr>
      <w:lang w:val="fr-BE"/>
    </w:rPr>
  </w:style>
  <w:style w:type="paragraph" w:styleId="Heading3">
    <w:name w:val="heading 3"/>
    <w:basedOn w:val="Normal"/>
    <w:next w:val="Normal"/>
    <w:link w:val="Heading3Char"/>
    <w:qFormat/>
    <w:rsid w:val="00D85787"/>
    <w:pPr>
      <w:keepNext/>
      <w:framePr w:hSpace="181" w:vSpace="181" w:wrap="auto" w:vAnchor="text" w:hAnchor="text" w:y="1"/>
      <w:outlineLvl w:val="2"/>
    </w:pPr>
  </w:style>
  <w:style w:type="paragraph" w:styleId="Heading4">
    <w:name w:val="heading 4"/>
    <w:basedOn w:val="Normal"/>
    <w:next w:val="Normal"/>
    <w:link w:val="Heading4Char"/>
    <w:qFormat/>
    <w:rsid w:val="00D85787"/>
    <w:pPr>
      <w:keepNext/>
      <w:numPr>
        <w:ilvl w:val="3"/>
        <w:numId w:val="2"/>
      </w:numPr>
      <w:spacing w:before="240" w:after="60"/>
      <w:outlineLvl w:val="3"/>
    </w:pPr>
    <w:rPr>
      <w:b/>
      <w:sz w:val="24"/>
    </w:rPr>
  </w:style>
  <w:style w:type="paragraph" w:styleId="Heading5">
    <w:name w:val="heading 5"/>
    <w:basedOn w:val="Normal"/>
    <w:next w:val="Normal"/>
    <w:link w:val="Heading5Char"/>
    <w:qFormat/>
    <w:rsid w:val="00D85787"/>
    <w:pPr>
      <w:numPr>
        <w:ilvl w:val="4"/>
        <w:numId w:val="2"/>
      </w:numPr>
      <w:spacing w:before="240" w:after="60"/>
      <w:outlineLvl w:val="4"/>
    </w:pPr>
    <w:rPr>
      <w:sz w:val="22"/>
    </w:rPr>
  </w:style>
  <w:style w:type="paragraph" w:styleId="Heading6">
    <w:name w:val="heading 6"/>
    <w:basedOn w:val="Normal"/>
    <w:next w:val="Normal"/>
    <w:link w:val="Heading6Char"/>
    <w:qFormat/>
    <w:rsid w:val="00D85787"/>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D85787"/>
    <w:pPr>
      <w:numPr>
        <w:ilvl w:val="6"/>
        <w:numId w:val="2"/>
      </w:numPr>
      <w:spacing w:before="240" w:after="60"/>
      <w:outlineLvl w:val="6"/>
    </w:pPr>
  </w:style>
  <w:style w:type="paragraph" w:styleId="Heading8">
    <w:name w:val="heading 8"/>
    <w:basedOn w:val="Normal"/>
    <w:next w:val="Normal"/>
    <w:link w:val="Heading8Char"/>
    <w:qFormat/>
    <w:rsid w:val="00D85787"/>
    <w:pPr>
      <w:numPr>
        <w:ilvl w:val="7"/>
        <w:numId w:val="2"/>
      </w:numPr>
      <w:spacing w:before="240" w:after="60"/>
      <w:outlineLvl w:val="7"/>
    </w:pPr>
    <w:rPr>
      <w:i/>
    </w:rPr>
  </w:style>
  <w:style w:type="paragraph" w:styleId="Heading9">
    <w:name w:val="heading 9"/>
    <w:basedOn w:val="Normal"/>
    <w:next w:val="Normal"/>
    <w:link w:val="Heading9Char"/>
    <w:qFormat/>
    <w:rsid w:val="00D85787"/>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87"/>
    <w:pPr>
      <w:jc w:val="center"/>
    </w:pPr>
    <w:rPr>
      <w:b/>
      <w:sz w:val="28"/>
      <w:lang w:val="fr-BE"/>
    </w:rPr>
  </w:style>
  <w:style w:type="paragraph" w:styleId="Subtitle">
    <w:name w:val="Subtitle"/>
    <w:basedOn w:val="Normal"/>
    <w:link w:val="SubtitleChar"/>
    <w:qFormat/>
    <w:rsid w:val="00D85787"/>
    <w:pPr>
      <w:jc w:val="center"/>
    </w:pPr>
    <w:rPr>
      <w:b/>
      <w:sz w:val="28"/>
      <w:lang w:val="fr-BE"/>
    </w:rPr>
  </w:style>
  <w:style w:type="paragraph" w:styleId="BodyTextIndent">
    <w:name w:val="Body Text Indent"/>
    <w:basedOn w:val="Normal"/>
    <w:link w:val="BodyTextIndentChar"/>
    <w:rsid w:val="00D85787"/>
    <w:pPr>
      <w:tabs>
        <w:tab w:val="num" w:pos="567"/>
      </w:tabs>
      <w:spacing w:after="0"/>
      <w:jc w:val="both"/>
    </w:pPr>
    <w:rPr>
      <w:sz w:val="24"/>
    </w:rPr>
  </w:style>
  <w:style w:type="paragraph" w:styleId="BodyText">
    <w:name w:val="Body Text"/>
    <w:basedOn w:val="Normal"/>
    <w:link w:val="BodyTextChar"/>
    <w:rsid w:val="00D85787"/>
  </w:style>
  <w:style w:type="paragraph" w:styleId="BodyTextIndent2">
    <w:name w:val="Body Text Indent 2"/>
    <w:basedOn w:val="Normal"/>
    <w:link w:val="BodyTextIndent2Char"/>
    <w:rsid w:val="00D85787"/>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rsid w:val="00D85787"/>
    <w:pPr>
      <w:tabs>
        <w:tab w:val="left" w:pos="1276"/>
      </w:tabs>
      <w:ind w:left="1276" w:hanging="425"/>
      <w:jc w:val="both"/>
    </w:pPr>
    <w:rPr>
      <w:sz w:val="24"/>
    </w:rPr>
  </w:style>
  <w:style w:type="paragraph" w:customStyle="1" w:styleId="Text3">
    <w:name w:val="Text 3"/>
    <w:basedOn w:val="Normal"/>
    <w:rsid w:val="00D85787"/>
    <w:pPr>
      <w:tabs>
        <w:tab w:val="left" w:pos="2302"/>
      </w:tabs>
      <w:spacing w:after="240"/>
      <w:ind w:left="1202"/>
      <w:jc w:val="both"/>
    </w:pPr>
    <w:rPr>
      <w:sz w:val="24"/>
    </w:rPr>
  </w:style>
  <w:style w:type="paragraph" w:styleId="Header">
    <w:name w:val="header"/>
    <w:basedOn w:val="Normal"/>
    <w:link w:val="HeaderChar"/>
    <w:rsid w:val="00D85787"/>
    <w:pPr>
      <w:tabs>
        <w:tab w:val="center" w:pos="4320"/>
        <w:tab w:val="right" w:pos="8640"/>
      </w:tabs>
    </w:pPr>
  </w:style>
  <w:style w:type="paragraph" w:styleId="Footer">
    <w:name w:val="footer"/>
    <w:basedOn w:val="Normal"/>
    <w:link w:val="FooterChar"/>
    <w:rsid w:val="00D85787"/>
    <w:pPr>
      <w:tabs>
        <w:tab w:val="center" w:pos="4320"/>
        <w:tab w:val="right" w:pos="8640"/>
      </w:tabs>
    </w:pPr>
  </w:style>
  <w:style w:type="character" w:styleId="PageNumber">
    <w:name w:val="page number"/>
    <w:basedOn w:val="DefaultParagraphFont"/>
    <w:rsid w:val="00D85787"/>
  </w:style>
  <w:style w:type="paragraph" w:styleId="BodyText3">
    <w:name w:val="Body Text 3"/>
    <w:basedOn w:val="Normal"/>
    <w:link w:val="BodyText3Char"/>
    <w:rsid w:val="00D85787"/>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sid w:val="00D85787"/>
    <w:rPr>
      <w:color w:val="0000FF"/>
      <w:u w:val="single"/>
    </w:rPr>
  </w:style>
  <w:style w:type="paragraph" w:styleId="FootnoteText">
    <w:name w:val="footnote text"/>
    <w:basedOn w:val="Normal"/>
    <w:link w:val="FootnoteTextChar"/>
    <w:semiHidden/>
    <w:rsid w:val="00D85787"/>
    <w:rPr>
      <w:lang w:val="fr-FR"/>
    </w:rPr>
  </w:style>
  <w:style w:type="character" w:styleId="FootnoteReference">
    <w:name w:val="footnote reference"/>
    <w:semiHidden/>
    <w:rsid w:val="00D85787"/>
    <w:rPr>
      <w:vertAlign w:val="superscript"/>
    </w:rPr>
  </w:style>
  <w:style w:type="paragraph" w:styleId="DocumentMap">
    <w:name w:val="Document Map"/>
    <w:basedOn w:val="Normal"/>
    <w:link w:val="DocumentMapChar"/>
    <w:semiHidden/>
    <w:rsid w:val="00D85787"/>
    <w:pPr>
      <w:shd w:val="clear" w:color="auto" w:fill="000080"/>
    </w:pPr>
    <w:rPr>
      <w:sz w:val="24"/>
      <w:lang w:val="fr-FR"/>
    </w:rPr>
  </w:style>
  <w:style w:type="paragraph" w:customStyle="1" w:styleId="bulletsub">
    <w:name w:val="bullet_sub"/>
    <w:basedOn w:val="Normal"/>
    <w:rsid w:val="00D8578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85787"/>
    <w:pPr>
      <w:spacing w:after="240"/>
      <w:jc w:val="center"/>
    </w:pPr>
    <w:rPr>
      <w:b/>
      <w:sz w:val="40"/>
    </w:rPr>
  </w:style>
  <w:style w:type="paragraph" w:customStyle="1" w:styleId="SubTitle2">
    <w:name w:val="SubTitle 2"/>
    <w:basedOn w:val="Normal"/>
    <w:rsid w:val="00D85787"/>
    <w:pPr>
      <w:spacing w:after="240"/>
      <w:jc w:val="center"/>
    </w:pPr>
    <w:rPr>
      <w:b/>
      <w:sz w:val="32"/>
    </w:rPr>
  </w:style>
  <w:style w:type="paragraph" w:customStyle="1" w:styleId="Annexetitle">
    <w:name w:val="Annexe_title"/>
    <w:basedOn w:val="Heading1"/>
    <w:next w:val="Normal"/>
    <w:autoRedefine/>
    <w:rsid w:val="00D85787"/>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85787"/>
    <w:pPr>
      <w:keepNext/>
      <w:widowControl w:val="0"/>
      <w:tabs>
        <w:tab w:val="num" w:pos="992"/>
      </w:tabs>
      <w:ind w:left="992" w:hanging="992"/>
    </w:pPr>
    <w:rPr>
      <w:b/>
      <w:sz w:val="18"/>
      <w:lang w:val="fr-FR"/>
    </w:rPr>
  </w:style>
  <w:style w:type="paragraph" w:customStyle="1" w:styleId="titlefront">
    <w:name w:val="title_front"/>
    <w:basedOn w:val="Normal"/>
    <w:rsid w:val="00D85787"/>
    <w:pPr>
      <w:spacing w:before="240"/>
      <w:ind w:left="1701"/>
      <w:jc w:val="right"/>
    </w:pPr>
    <w:rPr>
      <w:rFonts w:ascii="Optima" w:hAnsi="Optima"/>
      <w:b/>
      <w:sz w:val="28"/>
    </w:rPr>
  </w:style>
  <w:style w:type="paragraph" w:styleId="TOC1">
    <w:name w:val="toc 1"/>
    <w:basedOn w:val="Normal"/>
    <w:next w:val="Normal"/>
    <w:autoRedefine/>
    <w:semiHidden/>
    <w:rsid w:val="00D85787"/>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85787"/>
    <w:pPr>
      <w:spacing w:after="0"/>
      <w:ind w:left="200"/>
    </w:pPr>
    <w:rPr>
      <w:smallCaps/>
    </w:rPr>
  </w:style>
  <w:style w:type="character" w:styleId="Strong">
    <w:name w:val="Strong"/>
    <w:qFormat/>
    <w:rsid w:val="00D85787"/>
    <w:rPr>
      <w:b/>
    </w:rPr>
  </w:style>
  <w:style w:type="paragraph" w:customStyle="1" w:styleId="Blockquote">
    <w:name w:val="Blockquote"/>
    <w:basedOn w:val="Normal"/>
    <w:rsid w:val="00D85787"/>
    <w:pPr>
      <w:widowControl w:val="0"/>
      <w:spacing w:before="100" w:after="100"/>
      <w:ind w:left="360" w:right="360"/>
    </w:pPr>
    <w:rPr>
      <w:sz w:val="24"/>
      <w:lang w:val="en-US"/>
    </w:rPr>
  </w:style>
  <w:style w:type="paragraph" w:styleId="TOC3">
    <w:name w:val="toc 3"/>
    <w:basedOn w:val="Normal"/>
    <w:next w:val="Normal"/>
    <w:autoRedefine/>
    <w:semiHidden/>
    <w:rsid w:val="00D85787"/>
    <w:pPr>
      <w:spacing w:after="0"/>
      <w:ind w:left="400"/>
    </w:pPr>
    <w:rPr>
      <w:i/>
    </w:rPr>
  </w:style>
  <w:style w:type="paragraph" w:styleId="TOC4">
    <w:name w:val="toc 4"/>
    <w:basedOn w:val="Normal"/>
    <w:next w:val="Normal"/>
    <w:autoRedefine/>
    <w:semiHidden/>
    <w:rsid w:val="00D85787"/>
    <w:pPr>
      <w:spacing w:after="0"/>
      <w:ind w:left="600"/>
    </w:pPr>
    <w:rPr>
      <w:sz w:val="18"/>
    </w:rPr>
  </w:style>
  <w:style w:type="paragraph" w:styleId="TOC5">
    <w:name w:val="toc 5"/>
    <w:basedOn w:val="Normal"/>
    <w:next w:val="Normal"/>
    <w:autoRedefine/>
    <w:semiHidden/>
    <w:rsid w:val="00D85787"/>
    <w:pPr>
      <w:spacing w:after="0"/>
      <w:ind w:left="800"/>
    </w:pPr>
    <w:rPr>
      <w:sz w:val="18"/>
    </w:rPr>
  </w:style>
  <w:style w:type="paragraph" w:styleId="TOC6">
    <w:name w:val="toc 6"/>
    <w:basedOn w:val="Normal"/>
    <w:next w:val="Normal"/>
    <w:autoRedefine/>
    <w:semiHidden/>
    <w:rsid w:val="00D85787"/>
    <w:pPr>
      <w:spacing w:after="0"/>
      <w:ind w:left="1000"/>
    </w:pPr>
    <w:rPr>
      <w:sz w:val="18"/>
    </w:rPr>
  </w:style>
  <w:style w:type="paragraph" w:styleId="TOC7">
    <w:name w:val="toc 7"/>
    <w:basedOn w:val="Normal"/>
    <w:next w:val="Normal"/>
    <w:autoRedefine/>
    <w:semiHidden/>
    <w:rsid w:val="00D85787"/>
    <w:pPr>
      <w:spacing w:after="0"/>
      <w:ind w:left="1200"/>
    </w:pPr>
    <w:rPr>
      <w:sz w:val="18"/>
    </w:rPr>
  </w:style>
  <w:style w:type="paragraph" w:styleId="TOC8">
    <w:name w:val="toc 8"/>
    <w:basedOn w:val="Normal"/>
    <w:next w:val="Normal"/>
    <w:autoRedefine/>
    <w:semiHidden/>
    <w:rsid w:val="00D85787"/>
    <w:pPr>
      <w:spacing w:after="0"/>
      <w:ind w:left="1400"/>
    </w:pPr>
    <w:rPr>
      <w:sz w:val="18"/>
    </w:rPr>
  </w:style>
  <w:style w:type="paragraph" w:styleId="TOC9">
    <w:name w:val="toc 9"/>
    <w:basedOn w:val="Normal"/>
    <w:next w:val="Normal"/>
    <w:autoRedefine/>
    <w:semiHidden/>
    <w:rsid w:val="00D85787"/>
    <w:pPr>
      <w:spacing w:after="0"/>
      <w:ind w:left="1600"/>
    </w:pPr>
    <w:rPr>
      <w:sz w:val="18"/>
    </w:rPr>
  </w:style>
  <w:style w:type="character" w:styleId="FollowedHyperlink">
    <w:name w:val="FollowedHyperlink"/>
    <w:rsid w:val="00D85787"/>
    <w:rPr>
      <w:color w:val="800080"/>
      <w:u w:val="single"/>
    </w:rPr>
  </w:style>
  <w:style w:type="paragraph" w:customStyle="1" w:styleId="Style2">
    <w:name w:val="Style2"/>
    <w:basedOn w:val="Style1"/>
    <w:rsid w:val="00D85787"/>
    <w:pPr>
      <w:tabs>
        <w:tab w:val="clear" w:pos="992"/>
        <w:tab w:val="num" w:pos="2091"/>
      </w:tabs>
      <w:ind w:left="2977"/>
      <w:jc w:val="both"/>
    </w:pPr>
  </w:style>
  <w:style w:type="paragraph" w:customStyle="1" w:styleId="text">
    <w:name w:val="text"/>
    <w:rsid w:val="00D85787"/>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D85787"/>
    <w:pPr>
      <w:widowControl w:val="0"/>
      <w:spacing w:after="0" w:line="360" w:lineRule="exact"/>
      <w:jc w:val="center"/>
    </w:pPr>
    <w:rPr>
      <w:b/>
      <w:sz w:val="32"/>
      <w:lang w:val="cs-CZ"/>
    </w:rPr>
  </w:style>
  <w:style w:type="paragraph" w:customStyle="1" w:styleId="ManualNumPar1">
    <w:name w:val="Manual NumPar 1"/>
    <w:basedOn w:val="Normal"/>
    <w:next w:val="Normal"/>
    <w:rsid w:val="00D85787"/>
    <w:pPr>
      <w:ind w:left="851" w:hanging="851"/>
      <w:jc w:val="both"/>
    </w:pPr>
    <w:rPr>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r="http://schemas.openxmlformats.org/officeDocument/2006/relationships" xmlns:w="http://schemas.openxmlformats.org/wordprocessingml/2006/main">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ec.europa.eu/europeaid/prag/annexes.do?chapterTitleCode=A" TargetMode="Externa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62641-C4AB-4FDD-9248-F1BC9DAAC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76E7A-F7B0-40BE-94A9-099F8EE3856B}">
  <ds:schemaRefs>
    <ds:schemaRef ds:uri="http://schemas.openxmlformats.org/officeDocument/2006/bibliography"/>
  </ds:schemaRefs>
</ds:datastoreItem>
</file>

<file path=customXml/itemProps3.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E5595-CB16-4F59-81DE-10576DEBC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12</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46</cp:revision>
  <cp:lastPrinted>2012-09-24T09:39:00Z</cp:lastPrinted>
  <dcterms:created xsi:type="dcterms:W3CDTF">2018-12-18T11:43:00Z</dcterms:created>
  <dcterms:modified xsi:type="dcterms:W3CDTF">2025-01-17T12:45:00Z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