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B1" w:rsidRDefault="00386DB1" w:rsidP="00D45256">
      <w:pPr>
        <w:pStyle w:val="Heading1"/>
        <w:rPr>
          <w:lang w:val="en-IE"/>
        </w:rPr>
      </w:pPr>
      <w:bookmarkStart w:id="0" w:name="_Toc42488069"/>
    </w:p>
    <w:p w:rsidR="0047783A" w:rsidRPr="00D45256" w:rsidRDefault="0047783A" w:rsidP="00D45256">
      <w:pPr>
        <w:pStyle w:val="Heading1"/>
        <w:rPr>
          <w:lang w:val="en-IE"/>
        </w:rPr>
      </w:pPr>
      <w:r w:rsidRPr="00D45256">
        <w:rPr>
          <w:lang w:val="en-IE"/>
        </w:rPr>
        <w:t>A.</w:t>
      </w:r>
      <w:r w:rsidRPr="00D45256">
        <w:rPr>
          <w:lang w:val="en-IE"/>
        </w:rPr>
        <w:tab/>
        <w:t>INSTRUCTIONS TO TENDERERS</w:t>
      </w:r>
      <w:bookmarkEnd w:id="0"/>
    </w:p>
    <w:p w:rsidR="00386DB1" w:rsidRPr="005E5696" w:rsidRDefault="0047783A" w:rsidP="005E5696">
      <w:pPr>
        <w:tabs>
          <w:tab w:val="left" w:pos="0"/>
          <w:tab w:val="left" w:pos="709"/>
          <w:tab w:val="left" w:pos="851"/>
          <w:tab w:val="left" w:pos="1134"/>
          <w:tab w:val="left" w:pos="1418"/>
        </w:tabs>
        <w:spacing w:before="240" w:after="240"/>
        <w:rPr>
          <w:sz w:val="22"/>
          <w:szCs w:val="22"/>
        </w:rPr>
      </w:pPr>
      <w:r w:rsidRPr="00E82463">
        <w:rPr>
          <w:rFonts w:ascii="Times New Roman" w:hAnsi="Times New Roman"/>
          <w:szCs w:val="28"/>
        </w:rPr>
        <w:t>PUBLICATION REF.:</w:t>
      </w:r>
      <w:r w:rsidR="005E5696" w:rsidRPr="005E5696">
        <w:rPr>
          <w:b/>
          <w:szCs w:val="22"/>
        </w:rPr>
        <w:t xml:space="preserve"> </w:t>
      </w:r>
      <w:r w:rsidR="005E5696">
        <w:rPr>
          <w:b/>
          <w:szCs w:val="22"/>
        </w:rPr>
        <w:t>IPA ADRION 368/ No.7  (No.</w:t>
      </w:r>
      <w:r w:rsidR="005E5696">
        <w:rPr>
          <w:sz w:val="22"/>
          <w:szCs w:val="22"/>
        </w:rPr>
        <w:t xml:space="preserve"> </w:t>
      </w:r>
      <w:r w:rsidR="005E5696" w:rsidRPr="009660D7">
        <w:rPr>
          <w:b/>
          <w:sz w:val="22"/>
          <w:szCs w:val="22"/>
        </w:rPr>
        <w:t>05-1091/3)</w:t>
      </w:r>
    </w:p>
    <w:p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 xml:space="preserve">sfully and unreservedly </w:t>
      </w:r>
      <w:r w:rsidR="0047783A" w:rsidRPr="00E82463">
        <w:rPr>
          <w:rFonts w:ascii="Times New Roman" w:hAnsi="Times New Roman"/>
          <w:sz w:val="22"/>
          <w:lang w:val="en-GB"/>
        </w:rPr>
        <w:t xml:space="preserve">accept the </w:t>
      </w:r>
      <w:r w:rsidR="004531C7">
        <w:rPr>
          <w:rFonts w:ascii="Times New Roman" w:hAnsi="Times New Roman"/>
          <w:sz w:val="22"/>
          <w:lang w:val="en-GB"/>
        </w:rPr>
        <w:t xml:space="preserve">main, </w:t>
      </w:r>
      <w:r w:rsidR="0047783A" w:rsidRPr="00E82463">
        <w:rPr>
          <w:rFonts w:ascii="Times New Roman" w:hAnsi="Times New Roman"/>
          <w:sz w:val="22"/>
          <w:lang w:val="en-GB"/>
        </w:rPr>
        <w:t xml:space="preserve">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hyperlink r:id="rId8" w:history="1">
        <w:r w:rsidR="00FC5673" w:rsidRPr="00D45256">
          <w:rPr>
            <w:rStyle w:val="Hyperlink"/>
            <w:rFonts w:ascii="Times New Roman" w:hAnsi="Times New Roman"/>
            <w:b w:val="0"/>
            <w:sz w:val="22"/>
            <w:szCs w:val="22"/>
            <w:lang w:val="en-GB"/>
          </w:rPr>
          <w:t>https://wikis.ec.europa.eu/display/ExactExternalWiki/ePRAG</w:t>
        </w:r>
      </w:hyperlink>
      <w:r w:rsidRPr="00E93182">
        <w:rPr>
          <w:rFonts w:ascii="Times New Roman" w:hAnsi="Times New Roman"/>
          <w:sz w:val="22"/>
          <w:szCs w:val="22"/>
          <w:lang w:val="en-GB"/>
        </w:rPr>
        <w:t>).</w:t>
      </w:r>
    </w:p>
    <w:p w:rsidR="0047783A" w:rsidRPr="00D45256" w:rsidRDefault="00A633C6" w:rsidP="00D45256">
      <w:pPr>
        <w:pStyle w:val="Heading1"/>
        <w:rPr>
          <w:lang w:val="en-IE"/>
        </w:rPr>
      </w:pPr>
      <w:bookmarkStart w:id="1" w:name="_Toc42488070"/>
      <w:r w:rsidRPr="00D45256">
        <w:rPr>
          <w:lang w:val="en-IE"/>
        </w:rPr>
        <w:t>1.</w:t>
      </w:r>
      <w:r w:rsidR="00E93182" w:rsidRPr="00D45256">
        <w:rPr>
          <w:lang w:val="en-IE"/>
        </w:rPr>
        <w:tab/>
      </w:r>
      <w:r w:rsidR="0047783A" w:rsidRPr="00D45256">
        <w:rPr>
          <w:lang w:val="en-IE"/>
        </w:rPr>
        <w:t>Supplies to be provided</w:t>
      </w:r>
      <w:bookmarkEnd w:id="1"/>
    </w:p>
    <w:p w:rsidR="00C7322E" w:rsidRDefault="0047783A" w:rsidP="00D45256">
      <w:pPr>
        <w:pStyle w:val="Heading2"/>
        <w:keepNext w:val="0"/>
        <w:spacing w:before="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rsidR="00C7322E" w:rsidRDefault="00C7322E" w:rsidP="00D45256">
      <w:pPr>
        <w:spacing w:before="0"/>
        <w:ind w:left="709" w:hanging="142"/>
        <w:jc w:val="both"/>
        <w:rPr>
          <w:rFonts w:ascii="Times New Roman" w:hAnsi="Times New Roman"/>
          <w:sz w:val="22"/>
        </w:rPr>
      </w:pPr>
      <w:r w:rsidRPr="00386DB1">
        <w:rPr>
          <w:rFonts w:ascii="Times New Roman" w:hAnsi="Times New Roman"/>
          <w:sz w:val="22"/>
        </w:rPr>
        <w:t>the supply, delivery, unloading, siting and installation</w:t>
      </w:r>
      <w:r w:rsidR="00386DB1" w:rsidRPr="00386DB1">
        <w:rPr>
          <w:rFonts w:ascii="Times New Roman" w:hAnsi="Times New Roman"/>
          <w:sz w:val="22"/>
        </w:rPr>
        <w:t xml:space="preserve"> and </w:t>
      </w:r>
      <w:r w:rsidRPr="00386DB1">
        <w:rPr>
          <w:rFonts w:ascii="Times New Roman" w:hAnsi="Times New Roman"/>
          <w:sz w:val="22"/>
        </w:rPr>
        <w:t>commissioning,</w:t>
      </w:r>
    </w:p>
    <w:p w:rsidR="00C7322E" w:rsidRPr="0042695A" w:rsidRDefault="00C7322E" w:rsidP="00D45256">
      <w:pPr>
        <w:spacing w:before="0"/>
        <w:ind w:left="709" w:hanging="142"/>
        <w:jc w:val="both"/>
        <w:rPr>
          <w:highlight w:val="yellow"/>
        </w:rPr>
      </w:pPr>
      <w:r w:rsidRPr="004F1F8C">
        <w:rPr>
          <w:rFonts w:ascii="Times New Roman" w:hAnsi="Times New Roman"/>
          <w:sz w:val="22"/>
        </w:rPr>
        <w:t xml:space="preserve"> of the following supplies:</w:t>
      </w:r>
    </w:p>
    <w:p w:rsidR="000B614E" w:rsidRPr="000B614E" w:rsidRDefault="000B614E" w:rsidP="000B614E">
      <w:pPr>
        <w:numPr>
          <w:ilvl w:val="0"/>
          <w:numId w:val="37"/>
        </w:numPr>
        <w:spacing w:after="0"/>
        <w:ind w:left="927"/>
        <w:rPr>
          <w:rFonts w:ascii="Times New Roman" w:hAnsi="Times New Roman"/>
          <w:sz w:val="22"/>
          <w:szCs w:val="22"/>
          <w:lang w:val="en-US" w:eastAsia="mk-MK"/>
        </w:rPr>
      </w:pPr>
      <w:r>
        <w:rPr>
          <w:rFonts w:ascii="Times New Roman" w:hAnsi="Times New Roman"/>
          <w:sz w:val="22"/>
          <w:szCs w:val="22"/>
          <w:lang w:eastAsia="mk-MK"/>
        </w:rPr>
        <w:t>b</w:t>
      </w:r>
      <w:r w:rsidRPr="000B614E">
        <w:rPr>
          <w:rFonts w:ascii="Times New Roman" w:hAnsi="Times New Roman"/>
          <w:sz w:val="22"/>
          <w:szCs w:val="22"/>
          <w:lang w:eastAsia="mk-MK"/>
        </w:rPr>
        <w:t>enches 30</w:t>
      </w:r>
    </w:p>
    <w:p w:rsidR="000B614E" w:rsidRPr="000B614E" w:rsidRDefault="000B614E" w:rsidP="000B614E">
      <w:pPr>
        <w:numPr>
          <w:ilvl w:val="0"/>
          <w:numId w:val="37"/>
        </w:numPr>
        <w:spacing w:after="0"/>
        <w:ind w:left="927"/>
        <w:rPr>
          <w:rFonts w:ascii="Times New Roman" w:hAnsi="Times New Roman"/>
          <w:sz w:val="22"/>
          <w:szCs w:val="22"/>
          <w:lang w:val="en-US" w:eastAsia="mk-MK"/>
        </w:rPr>
      </w:pPr>
      <w:r w:rsidRPr="000B614E">
        <w:rPr>
          <w:rFonts w:ascii="Times New Roman" w:hAnsi="Times New Roman"/>
          <w:sz w:val="22"/>
          <w:szCs w:val="22"/>
          <w:lang w:eastAsia="mk-MK"/>
        </w:rPr>
        <w:t>garbage cans</w:t>
      </w:r>
      <w:r w:rsidRPr="000B614E">
        <w:rPr>
          <w:rFonts w:ascii="Times New Roman" w:hAnsi="Times New Roman"/>
          <w:sz w:val="22"/>
          <w:szCs w:val="22"/>
          <w:lang w:val="en-US" w:eastAsia="mk-MK"/>
        </w:rPr>
        <w:t xml:space="preserve"> 10</w:t>
      </w:r>
    </w:p>
    <w:p w:rsidR="00386DB1" w:rsidRPr="000B614E" w:rsidRDefault="000B614E" w:rsidP="000B614E">
      <w:pPr>
        <w:numPr>
          <w:ilvl w:val="0"/>
          <w:numId w:val="37"/>
        </w:numPr>
        <w:spacing w:after="0"/>
        <w:ind w:left="927"/>
        <w:rPr>
          <w:rFonts w:ascii="Times New Roman" w:hAnsi="Times New Roman"/>
          <w:color w:val="000000"/>
          <w:sz w:val="22"/>
          <w:szCs w:val="22"/>
          <w:lang w:val="en-US" w:eastAsia="mk-MK"/>
        </w:rPr>
      </w:pPr>
      <w:r w:rsidRPr="000B614E">
        <w:rPr>
          <w:rFonts w:ascii="Times New Roman" w:hAnsi="Times New Roman"/>
          <w:sz w:val="22"/>
          <w:szCs w:val="22"/>
          <w:lang w:eastAsia="mk-MK"/>
        </w:rPr>
        <w:t>road signs 10</w:t>
      </w:r>
    </w:p>
    <w:p w:rsidR="00386DB1" w:rsidRDefault="00386DB1" w:rsidP="000B614E">
      <w:pPr>
        <w:pStyle w:val="Heading2"/>
        <w:keepNext w:val="0"/>
        <w:spacing w:before="0"/>
        <w:ind w:left="774"/>
        <w:jc w:val="both"/>
        <w:rPr>
          <w:rFonts w:ascii="Times New Roman" w:hAnsi="Times New Roman"/>
          <w:sz w:val="22"/>
          <w:highlight w:val="yellow"/>
          <w:lang w:val="en-GB"/>
        </w:rPr>
      </w:pPr>
    </w:p>
    <w:p w:rsidR="0047783A" w:rsidRDefault="00386DB1" w:rsidP="00D45256">
      <w:pPr>
        <w:spacing w:before="0"/>
        <w:ind w:left="567"/>
        <w:jc w:val="both"/>
        <w:rPr>
          <w:rFonts w:ascii="Times New Roman" w:hAnsi="Times New Roman"/>
          <w:sz w:val="22"/>
        </w:rPr>
      </w:pPr>
      <w:r w:rsidRPr="00386DB1">
        <w:rPr>
          <w:rFonts w:ascii="Times New Roman" w:hAnsi="Times New Roman"/>
          <w:sz w:val="22"/>
        </w:rPr>
        <w:t>T</w:t>
      </w:r>
      <w:r w:rsidR="0047783A" w:rsidRPr="00386DB1">
        <w:rPr>
          <w:rFonts w:ascii="Times New Roman" w:hAnsi="Times New Roman"/>
          <w:sz w:val="22"/>
        </w:rPr>
        <w:t>o</w:t>
      </w:r>
      <w:r w:rsidRPr="00386DB1">
        <w:rPr>
          <w:rFonts w:ascii="Times New Roman" w:hAnsi="Times New Roman"/>
          <w:sz w:val="22"/>
        </w:rPr>
        <w:t>Negotino</w:t>
      </w:r>
      <w:r w:rsidR="00CF63C2" w:rsidRPr="00386DB1">
        <w:rPr>
          <w:rFonts w:ascii="Times New Roman" w:hAnsi="Times New Roman"/>
          <w:sz w:val="22"/>
        </w:rPr>
        <w:t xml:space="preserve"> DAP</w:t>
      </w:r>
      <w:r w:rsidR="00CF63C2" w:rsidRPr="00386DB1">
        <w:rPr>
          <w:rStyle w:val="FootnoteReference"/>
          <w:rFonts w:ascii="Times New Roman" w:hAnsi="Times New Roman"/>
          <w:sz w:val="22"/>
        </w:rPr>
        <w:footnoteReference w:id="2"/>
      </w:r>
      <w:r w:rsidR="006A5F84" w:rsidRPr="00386DB1">
        <w:rPr>
          <w:rFonts w:ascii="Times New Roman" w:hAnsi="Times New Roman"/>
          <w:sz w:val="22"/>
        </w:rPr>
        <w:t>,</w:t>
      </w:r>
      <w:r w:rsidRPr="00386DB1">
        <w:rPr>
          <w:rFonts w:ascii="Times New Roman" w:hAnsi="Times New Roman"/>
          <w:sz w:val="22"/>
        </w:rPr>
        <w:t xml:space="preserve"> in the period of 180 days</w:t>
      </w:r>
      <w:r>
        <w:rPr>
          <w:rFonts w:ascii="Times New Roman" w:hAnsi="Times New Roman"/>
          <w:sz w:val="22"/>
        </w:rPr>
        <w:t>.</w:t>
      </w:r>
    </w:p>
    <w:p w:rsidR="006C2CE8" w:rsidRPr="006C2CE8" w:rsidRDefault="006C2CE8" w:rsidP="00D45256">
      <w:pPr>
        <w:spacing w:before="0"/>
        <w:ind w:left="567"/>
        <w:jc w:val="both"/>
        <w:rPr>
          <w:rFonts w:ascii="Times New Roman" w:hAnsi="Times New Roman"/>
          <w:sz w:val="22"/>
          <w:szCs w:val="22"/>
        </w:rPr>
      </w:pPr>
    </w:p>
    <w:p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rsidR="0047783A" w:rsidRDefault="0047783A" w:rsidP="00386DB1">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1.3</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p>
    <w:p w:rsidR="00386DB1" w:rsidRDefault="00386DB1" w:rsidP="00386DB1"/>
    <w:p w:rsidR="00386DB1" w:rsidRDefault="00386DB1" w:rsidP="00386DB1"/>
    <w:p w:rsidR="00386DB1" w:rsidRPr="00386DB1" w:rsidRDefault="00386DB1" w:rsidP="00386DB1"/>
    <w:p w:rsidR="0047783A" w:rsidRPr="001A2BC4" w:rsidRDefault="00A633C6" w:rsidP="00D45256">
      <w:pPr>
        <w:pStyle w:val="Heading1"/>
      </w:pPr>
      <w:bookmarkStart w:id="4" w:name="_Toc42488071"/>
      <w:r w:rsidRPr="001A2BC4">
        <w:t>2</w:t>
      </w:r>
      <w:r w:rsidR="00E93182">
        <w:tab/>
      </w:r>
      <w:r w:rsidR="0047783A" w:rsidRPr="001A2BC4">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2410"/>
        <w:gridCol w:w="2551"/>
      </w:tblGrid>
      <w:tr w:rsidR="0047783A" w:rsidRPr="00E82463" w:rsidTr="00D45256">
        <w:tc>
          <w:tcPr>
            <w:tcW w:w="3686" w:type="dxa"/>
            <w:tcBorders>
              <w:bottom w:val="nil"/>
            </w:tcBorders>
          </w:tcPr>
          <w:p w:rsidR="0047783A" w:rsidRPr="00E82463" w:rsidRDefault="0047783A">
            <w:pPr>
              <w:keepNext/>
              <w:jc w:val="both"/>
              <w:rPr>
                <w:rFonts w:ascii="Times New Roman" w:hAnsi="Times New Roman"/>
              </w:rPr>
            </w:pPr>
          </w:p>
        </w:tc>
        <w:tc>
          <w:tcPr>
            <w:tcW w:w="2410" w:type="dxa"/>
            <w:shd w:val="pct10" w:color="auto" w:fill="FFFFFF"/>
          </w:tcPr>
          <w:p w:rsidR="0047783A" w:rsidRPr="00E82463" w:rsidRDefault="0047783A" w:rsidP="00D45256">
            <w:pPr>
              <w:keepNext/>
              <w:jc w:val="center"/>
              <w:rPr>
                <w:rFonts w:ascii="Times New Roman" w:hAnsi="Times New Roman"/>
                <w:b/>
                <w:sz w:val="18"/>
              </w:rPr>
            </w:pPr>
            <w:r w:rsidRPr="00E82463">
              <w:rPr>
                <w:rFonts w:ascii="Times New Roman" w:hAnsi="Times New Roman"/>
                <w:b/>
                <w:sz w:val="18"/>
              </w:rPr>
              <w:t>DATE</w:t>
            </w:r>
          </w:p>
        </w:tc>
        <w:tc>
          <w:tcPr>
            <w:tcW w:w="2551" w:type="dxa"/>
            <w:tcBorders>
              <w:bottom w:val="nil"/>
            </w:tcBorders>
            <w:shd w:val="pct10" w:color="auto" w:fill="FFFFFF"/>
          </w:tcPr>
          <w:p w:rsidR="0047783A" w:rsidRPr="00E82463" w:rsidRDefault="0047783A" w:rsidP="00D45256">
            <w:pPr>
              <w:jc w:val="center"/>
              <w:rPr>
                <w:rFonts w:ascii="Times New Roman" w:hAnsi="Times New Roman"/>
                <w:b/>
                <w:sz w:val="18"/>
              </w:rPr>
            </w:pPr>
            <w:r w:rsidRPr="00E82463">
              <w:rPr>
                <w:rFonts w:ascii="Times New Roman" w:hAnsi="Times New Roman"/>
                <w:b/>
                <w:sz w:val="18"/>
              </w:rPr>
              <w:t>TIME</w:t>
            </w:r>
            <w:r w:rsidR="00663BBD">
              <w:rPr>
                <w:rFonts w:ascii="Times New Roman" w:hAnsi="Times New Roman"/>
                <w:b/>
                <w:sz w:val="18"/>
              </w:rPr>
              <w:t>**</w:t>
            </w:r>
          </w:p>
        </w:tc>
      </w:tr>
      <w:tr w:rsidR="00403B25" w:rsidRPr="00E82463" w:rsidTr="00107EA1">
        <w:tc>
          <w:tcPr>
            <w:tcW w:w="3686" w:type="dxa"/>
            <w:shd w:val="pct10" w:color="auto" w:fill="FFFFFF"/>
          </w:tcPr>
          <w:p w:rsidR="00403B25" w:rsidRPr="00E82463" w:rsidRDefault="004531C7" w:rsidP="00D45256">
            <w:pPr>
              <w:spacing w:before="60" w:after="60"/>
              <w:jc w:val="both"/>
              <w:rPr>
                <w:rFonts w:ascii="Times New Roman" w:hAnsi="Times New Roman"/>
                <w:b/>
                <w:sz w:val="22"/>
              </w:rPr>
            </w:pPr>
            <w:r>
              <w:rPr>
                <w:rFonts w:ascii="Times New Roman" w:hAnsi="Times New Roman"/>
                <w:b/>
                <w:sz w:val="22"/>
              </w:rPr>
              <w:t>Information</w:t>
            </w:r>
            <w:r w:rsidR="00403B25" w:rsidRPr="00E82463">
              <w:rPr>
                <w:rFonts w:ascii="Times New Roman" w:hAnsi="Times New Roman"/>
                <w:b/>
                <w:sz w:val="22"/>
              </w:rPr>
              <w:t xml:space="preserve">meeting / site visit (if </w:t>
            </w:r>
            <w:r w:rsidR="00403B25" w:rsidRPr="00E82463">
              <w:rPr>
                <w:rFonts w:ascii="Times New Roman" w:hAnsi="Times New Roman"/>
                <w:b/>
                <w:sz w:val="22"/>
              </w:rPr>
              <w:lastRenderedPageBreak/>
              <w:t>any)</w:t>
            </w:r>
          </w:p>
        </w:tc>
        <w:tc>
          <w:tcPr>
            <w:tcW w:w="2410" w:type="dxa"/>
            <w:vAlign w:val="center"/>
          </w:tcPr>
          <w:p w:rsidR="00403B25" w:rsidRPr="00E82463" w:rsidRDefault="00403B25" w:rsidP="00107EA1">
            <w:pPr>
              <w:spacing w:before="60" w:after="60"/>
              <w:jc w:val="center"/>
              <w:rPr>
                <w:rFonts w:ascii="Times New Roman" w:hAnsi="Times New Roman"/>
                <w:sz w:val="22"/>
              </w:rPr>
            </w:pPr>
            <w:r w:rsidRPr="003A66B0">
              <w:rPr>
                <w:rFonts w:ascii="Times New Roman" w:hAnsi="Times New Roman"/>
                <w:sz w:val="22"/>
              </w:rPr>
              <w:lastRenderedPageBreak/>
              <w:t>Not applicable</w:t>
            </w:r>
          </w:p>
        </w:tc>
        <w:tc>
          <w:tcPr>
            <w:tcW w:w="2551" w:type="dxa"/>
            <w:vAlign w:val="center"/>
          </w:tcPr>
          <w:p w:rsidR="00403B25" w:rsidRPr="00156114" w:rsidRDefault="003A66B0" w:rsidP="00107EA1">
            <w:pPr>
              <w:spacing w:before="60" w:after="60"/>
              <w:jc w:val="center"/>
              <w:rPr>
                <w:rFonts w:ascii="Times New Roman" w:hAnsi="Times New Roman"/>
                <w:sz w:val="22"/>
              </w:rPr>
            </w:pPr>
            <w:r>
              <w:rPr>
                <w:rFonts w:ascii="Times New Roman" w:hAnsi="Times New Roman"/>
                <w:sz w:val="22"/>
              </w:rPr>
              <w:t>No</w:t>
            </w:r>
            <w:r w:rsidRPr="003A66B0">
              <w:rPr>
                <w:rFonts w:ascii="Times New Roman" w:hAnsi="Times New Roman"/>
                <w:sz w:val="22"/>
              </w:rPr>
              <w:t>t applicable</w:t>
            </w:r>
          </w:p>
        </w:tc>
      </w:tr>
      <w:tr w:rsidR="00403B25" w:rsidRPr="00E82463" w:rsidTr="00107EA1">
        <w:tc>
          <w:tcPr>
            <w:tcW w:w="3686" w:type="dxa"/>
            <w:shd w:val="pct10" w:color="auto" w:fill="FFFFFF"/>
          </w:tcPr>
          <w:p w:rsidR="00403B25" w:rsidRPr="00B35051" w:rsidRDefault="00403B25" w:rsidP="00D45256">
            <w:pPr>
              <w:keepNext/>
              <w:spacing w:before="60" w:after="60"/>
              <w:rPr>
                <w:rFonts w:ascii="Times New Roman" w:hAnsi="Times New Roman"/>
                <w:b/>
                <w:sz w:val="22"/>
              </w:rPr>
            </w:pPr>
            <w:r w:rsidRPr="00B35051">
              <w:rPr>
                <w:rFonts w:ascii="Times New Roman" w:hAnsi="Times New Roman"/>
                <w:b/>
                <w:sz w:val="22"/>
              </w:rPr>
              <w:lastRenderedPageBreak/>
              <w:t>Deadline for requesting clarifications from the contracting authority</w:t>
            </w:r>
          </w:p>
        </w:tc>
        <w:tc>
          <w:tcPr>
            <w:tcW w:w="2410" w:type="dxa"/>
            <w:vAlign w:val="center"/>
          </w:tcPr>
          <w:p w:rsidR="00403B25" w:rsidRPr="009956B4" w:rsidRDefault="000B614E" w:rsidP="00107EA1">
            <w:pPr>
              <w:spacing w:before="60" w:after="60"/>
              <w:jc w:val="center"/>
              <w:rPr>
                <w:rFonts w:ascii="Times New Roman" w:hAnsi="Times New Roman"/>
                <w:sz w:val="22"/>
                <w:szCs w:val="22"/>
                <w:highlight w:val="yellow"/>
              </w:rPr>
            </w:pPr>
            <w:r>
              <w:rPr>
                <w:rFonts w:ascii="Times New Roman" w:hAnsi="Times New Roman"/>
                <w:sz w:val="22"/>
                <w:szCs w:val="22"/>
              </w:rPr>
              <w:t>01</w:t>
            </w:r>
            <w:r w:rsidR="003A66B0">
              <w:rPr>
                <w:rFonts w:ascii="Times New Roman" w:hAnsi="Times New Roman"/>
                <w:sz w:val="22"/>
                <w:szCs w:val="22"/>
              </w:rPr>
              <w:t>.0</w:t>
            </w:r>
            <w:r>
              <w:rPr>
                <w:rFonts w:ascii="Times New Roman" w:hAnsi="Times New Roman"/>
                <w:sz w:val="22"/>
                <w:szCs w:val="22"/>
              </w:rPr>
              <w:t>7</w:t>
            </w:r>
            <w:r w:rsidR="003A66B0">
              <w:rPr>
                <w:rFonts w:ascii="Times New Roman" w:hAnsi="Times New Roman"/>
                <w:sz w:val="22"/>
                <w:szCs w:val="22"/>
              </w:rPr>
              <w:t>.2025</w:t>
            </w:r>
          </w:p>
        </w:tc>
        <w:tc>
          <w:tcPr>
            <w:tcW w:w="2551" w:type="dxa"/>
            <w:vAlign w:val="center"/>
          </w:tcPr>
          <w:p w:rsidR="00403B25" w:rsidRPr="00403B25" w:rsidRDefault="003A66B0" w:rsidP="00107EA1">
            <w:pPr>
              <w:spacing w:before="60" w:after="60"/>
              <w:jc w:val="center"/>
              <w:rPr>
                <w:rFonts w:ascii="Times New Roman" w:hAnsi="Times New Roman"/>
                <w:sz w:val="22"/>
              </w:rPr>
            </w:pPr>
            <w:r>
              <w:rPr>
                <w:rFonts w:ascii="Times New Roman" w:hAnsi="Times New Roman"/>
                <w:sz w:val="22"/>
              </w:rPr>
              <w:t>16.00</w:t>
            </w:r>
          </w:p>
        </w:tc>
      </w:tr>
      <w:tr w:rsidR="00403B25" w:rsidRPr="00E82463" w:rsidTr="00107EA1">
        <w:tc>
          <w:tcPr>
            <w:tcW w:w="3686" w:type="dxa"/>
            <w:shd w:val="pct10" w:color="auto" w:fill="FFFFFF"/>
          </w:tcPr>
          <w:p w:rsidR="00403B25" w:rsidRPr="00E82463" w:rsidRDefault="00403B25" w:rsidP="00D45256">
            <w:pPr>
              <w:spacing w:before="60" w:after="60"/>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vAlign w:val="center"/>
          </w:tcPr>
          <w:p w:rsidR="00403B25" w:rsidRPr="009956B4" w:rsidRDefault="00403B25" w:rsidP="00107EA1">
            <w:pPr>
              <w:spacing w:before="60" w:after="60"/>
              <w:jc w:val="center"/>
              <w:rPr>
                <w:rFonts w:ascii="Times New Roman" w:hAnsi="Times New Roman"/>
                <w:sz w:val="22"/>
                <w:szCs w:val="22"/>
                <w:highlight w:val="yellow"/>
              </w:rPr>
            </w:pPr>
            <w:r w:rsidRPr="00D45256">
              <w:rPr>
                <w:rFonts w:ascii="Times New Roman" w:hAnsi="Times New Roman"/>
                <w:sz w:val="22"/>
                <w:szCs w:val="22"/>
              </w:rPr>
              <w:t>8 days before deadline for</w:t>
            </w:r>
            <w:r w:rsidR="008F3B55" w:rsidRPr="00D45256">
              <w:rPr>
                <w:rFonts w:ascii="Times New Roman" w:hAnsi="Times New Roman"/>
                <w:sz w:val="22"/>
                <w:szCs w:val="22"/>
              </w:rPr>
              <w:t xml:space="preserve"> submission of</w:t>
            </w:r>
            <w:r w:rsidRPr="00D45256">
              <w:rPr>
                <w:rFonts w:ascii="Times New Roman" w:hAnsi="Times New Roman"/>
                <w:sz w:val="22"/>
                <w:szCs w:val="22"/>
              </w:rPr>
              <w:t xml:space="preserve"> tenders</w:t>
            </w:r>
          </w:p>
        </w:tc>
        <w:tc>
          <w:tcPr>
            <w:tcW w:w="2551" w:type="dxa"/>
            <w:vAlign w:val="center"/>
          </w:tcPr>
          <w:p w:rsidR="00403B25" w:rsidRPr="00E82463" w:rsidRDefault="00403B25" w:rsidP="00107EA1">
            <w:pPr>
              <w:spacing w:before="60" w:after="60"/>
              <w:jc w:val="center"/>
              <w:rPr>
                <w:rFonts w:ascii="Times New Roman" w:hAnsi="Times New Roman"/>
                <w:sz w:val="22"/>
              </w:rPr>
            </w:pPr>
            <w:r w:rsidRPr="00E82463">
              <w:rPr>
                <w:rFonts w:ascii="Times New Roman" w:hAnsi="Times New Roman"/>
                <w:sz w:val="22"/>
              </w:rPr>
              <w:t>-</w:t>
            </w:r>
          </w:p>
        </w:tc>
      </w:tr>
      <w:tr w:rsidR="007B10D9" w:rsidRPr="00E82463" w:rsidTr="00107EA1">
        <w:tc>
          <w:tcPr>
            <w:tcW w:w="3686" w:type="dxa"/>
            <w:shd w:val="pct10" w:color="auto" w:fill="FFFFFF"/>
          </w:tcPr>
          <w:p w:rsidR="007B10D9" w:rsidRPr="00E82463" w:rsidRDefault="007B10D9" w:rsidP="00D45256">
            <w:pPr>
              <w:spacing w:before="60" w:after="60"/>
              <w:jc w:val="both"/>
              <w:rPr>
                <w:rFonts w:ascii="Times New Roman" w:hAnsi="Times New Roman"/>
                <w:b/>
                <w:sz w:val="22"/>
              </w:rPr>
            </w:pPr>
            <w:r w:rsidRPr="00E82463">
              <w:rPr>
                <w:rFonts w:ascii="Times New Roman" w:hAnsi="Times New Roman"/>
                <w:b/>
                <w:sz w:val="22"/>
              </w:rPr>
              <w:t>Deadline for submission of tenders</w:t>
            </w:r>
          </w:p>
        </w:tc>
        <w:tc>
          <w:tcPr>
            <w:tcW w:w="2410" w:type="dxa"/>
            <w:vAlign w:val="center"/>
          </w:tcPr>
          <w:p w:rsidR="007B10D9" w:rsidRPr="00E82463" w:rsidRDefault="007B10D9" w:rsidP="00107EA1">
            <w:pPr>
              <w:spacing w:before="60" w:after="60"/>
              <w:jc w:val="center"/>
              <w:rPr>
                <w:rFonts w:ascii="Times New Roman" w:hAnsi="Times New Roman"/>
                <w:sz w:val="22"/>
              </w:rPr>
            </w:pPr>
            <w:r w:rsidRPr="003A66B0">
              <w:rPr>
                <w:rFonts w:ascii="Times New Roman" w:hAnsi="Times New Roman"/>
                <w:sz w:val="22"/>
              </w:rPr>
              <w:t>As indicated in the contract notice</w:t>
            </w:r>
          </w:p>
        </w:tc>
        <w:tc>
          <w:tcPr>
            <w:tcW w:w="2551" w:type="dxa"/>
            <w:vAlign w:val="center"/>
          </w:tcPr>
          <w:p w:rsidR="007B10D9" w:rsidRPr="00E82463" w:rsidRDefault="003A66B0" w:rsidP="00107EA1">
            <w:pPr>
              <w:spacing w:before="60" w:after="60"/>
              <w:jc w:val="center"/>
              <w:rPr>
                <w:rFonts w:ascii="Times New Roman" w:hAnsi="Times New Roman"/>
                <w:sz w:val="22"/>
              </w:rPr>
            </w:pPr>
            <w:r w:rsidRPr="003A66B0">
              <w:rPr>
                <w:rFonts w:ascii="Times New Roman" w:hAnsi="Times New Roman"/>
                <w:sz w:val="22"/>
              </w:rPr>
              <w:t>As indicated in the contract notice</w:t>
            </w:r>
          </w:p>
        </w:tc>
      </w:tr>
      <w:tr w:rsidR="007B10D9" w:rsidRPr="00E82463" w:rsidTr="00107EA1">
        <w:tc>
          <w:tcPr>
            <w:tcW w:w="3686" w:type="dxa"/>
            <w:shd w:val="pct10" w:color="auto" w:fill="FFFFFF"/>
          </w:tcPr>
          <w:p w:rsidR="007B10D9" w:rsidRPr="00E82463" w:rsidRDefault="007B10D9" w:rsidP="00D45256">
            <w:pPr>
              <w:spacing w:before="60" w:after="60"/>
              <w:jc w:val="both"/>
              <w:rPr>
                <w:rFonts w:ascii="Times New Roman" w:hAnsi="Times New Roman"/>
                <w:b/>
                <w:sz w:val="22"/>
              </w:rPr>
            </w:pPr>
            <w:r w:rsidRPr="00E82463">
              <w:rPr>
                <w:rFonts w:ascii="Times New Roman" w:hAnsi="Times New Roman"/>
                <w:b/>
                <w:sz w:val="22"/>
              </w:rPr>
              <w:t>Tender opening session</w:t>
            </w:r>
          </w:p>
        </w:tc>
        <w:tc>
          <w:tcPr>
            <w:tcW w:w="2410" w:type="dxa"/>
            <w:vAlign w:val="center"/>
          </w:tcPr>
          <w:p w:rsidR="007B10D9" w:rsidRPr="00E82463" w:rsidRDefault="000B614E" w:rsidP="00107EA1">
            <w:pPr>
              <w:spacing w:before="60" w:after="60"/>
              <w:jc w:val="center"/>
              <w:rPr>
                <w:rFonts w:ascii="Times New Roman" w:hAnsi="Times New Roman"/>
                <w:sz w:val="22"/>
              </w:rPr>
            </w:pPr>
            <w:r>
              <w:rPr>
                <w:rFonts w:ascii="Times New Roman" w:hAnsi="Times New Roman"/>
                <w:sz w:val="22"/>
              </w:rPr>
              <w:t>/</w:t>
            </w:r>
          </w:p>
        </w:tc>
        <w:tc>
          <w:tcPr>
            <w:tcW w:w="2551" w:type="dxa"/>
            <w:vAlign w:val="center"/>
          </w:tcPr>
          <w:p w:rsidR="007B10D9" w:rsidRPr="00E82463" w:rsidRDefault="000B614E" w:rsidP="00107EA1">
            <w:pPr>
              <w:spacing w:before="60" w:after="60"/>
              <w:jc w:val="center"/>
              <w:rPr>
                <w:rFonts w:ascii="Times New Roman" w:hAnsi="Times New Roman"/>
                <w:sz w:val="22"/>
              </w:rPr>
            </w:pPr>
            <w:r>
              <w:rPr>
                <w:rFonts w:ascii="Times New Roman" w:hAnsi="Times New Roman"/>
                <w:sz w:val="22"/>
              </w:rPr>
              <w:t>/</w:t>
            </w:r>
          </w:p>
        </w:tc>
      </w:tr>
      <w:tr w:rsidR="007B10D9" w:rsidRPr="00E82463" w:rsidTr="00107EA1">
        <w:tc>
          <w:tcPr>
            <w:tcW w:w="3686" w:type="dxa"/>
            <w:shd w:val="pct10" w:color="auto" w:fill="FFFFFF"/>
          </w:tcPr>
          <w:p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vAlign w:val="center"/>
          </w:tcPr>
          <w:p w:rsidR="007B10D9" w:rsidRPr="00E82463" w:rsidRDefault="000B614E" w:rsidP="00107EA1">
            <w:pPr>
              <w:tabs>
                <w:tab w:val="left" w:pos="851"/>
              </w:tabs>
              <w:spacing w:before="60" w:after="60"/>
              <w:jc w:val="center"/>
              <w:rPr>
                <w:rFonts w:ascii="Times New Roman" w:hAnsi="Times New Roman"/>
                <w:sz w:val="22"/>
              </w:rPr>
            </w:pPr>
            <w:r>
              <w:rPr>
                <w:rFonts w:ascii="Times New Roman" w:hAnsi="Times New Roman"/>
                <w:sz w:val="22"/>
              </w:rPr>
              <w:t>23</w:t>
            </w:r>
            <w:r w:rsidR="003A66B0">
              <w:rPr>
                <w:rFonts w:ascii="Times New Roman" w:hAnsi="Times New Roman"/>
                <w:sz w:val="22"/>
              </w:rPr>
              <w:t>.0</w:t>
            </w:r>
            <w:r w:rsidR="00107EA1">
              <w:rPr>
                <w:rFonts w:ascii="Times New Roman" w:hAnsi="Times New Roman"/>
                <w:sz w:val="22"/>
              </w:rPr>
              <w:t>7</w:t>
            </w:r>
            <w:r w:rsidR="003A66B0">
              <w:rPr>
                <w:rFonts w:ascii="Times New Roman" w:hAnsi="Times New Roman"/>
                <w:sz w:val="22"/>
              </w:rPr>
              <w:t>.2025</w:t>
            </w:r>
          </w:p>
        </w:tc>
        <w:tc>
          <w:tcPr>
            <w:tcW w:w="2551" w:type="dxa"/>
            <w:vAlign w:val="center"/>
          </w:tcPr>
          <w:p w:rsidR="007B10D9" w:rsidRPr="00E82463" w:rsidRDefault="007B10D9" w:rsidP="00107EA1">
            <w:pPr>
              <w:tabs>
                <w:tab w:val="left" w:pos="851"/>
              </w:tabs>
              <w:spacing w:before="60" w:after="60"/>
              <w:jc w:val="center"/>
              <w:rPr>
                <w:rFonts w:ascii="Times New Roman" w:hAnsi="Times New Roman"/>
                <w:sz w:val="22"/>
              </w:rPr>
            </w:pPr>
            <w:r w:rsidRPr="00E82463">
              <w:rPr>
                <w:rFonts w:ascii="Times New Roman" w:hAnsi="Times New Roman"/>
                <w:sz w:val="22"/>
              </w:rPr>
              <w:t>-</w:t>
            </w:r>
          </w:p>
        </w:tc>
      </w:tr>
      <w:tr w:rsidR="007B10D9" w:rsidRPr="00E82463" w:rsidTr="00107EA1">
        <w:tc>
          <w:tcPr>
            <w:tcW w:w="3686" w:type="dxa"/>
            <w:shd w:val="pct10" w:color="auto" w:fill="FFFFFF"/>
          </w:tcPr>
          <w:p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Signature of the contract</w:t>
            </w:r>
          </w:p>
        </w:tc>
        <w:tc>
          <w:tcPr>
            <w:tcW w:w="2410" w:type="dxa"/>
            <w:vAlign w:val="center"/>
          </w:tcPr>
          <w:p w:rsidR="007B10D9" w:rsidRPr="00E82463" w:rsidRDefault="000B614E" w:rsidP="00107EA1">
            <w:pPr>
              <w:tabs>
                <w:tab w:val="left" w:pos="851"/>
              </w:tabs>
              <w:spacing w:before="60" w:after="60"/>
              <w:jc w:val="center"/>
              <w:rPr>
                <w:rFonts w:ascii="Times New Roman" w:hAnsi="Times New Roman"/>
                <w:sz w:val="22"/>
              </w:rPr>
            </w:pPr>
            <w:r>
              <w:rPr>
                <w:rFonts w:ascii="Times New Roman" w:hAnsi="Times New Roman"/>
                <w:sz w:val="22"/>
              </w:rPr>
              <w:t>3</w:t>
            </w:r>
            <w:r w:rsidR="00107EA1">
              <w:rPr>
                <w:rFonts w:ascii="Times New Roman" w:hAnsi="Times New Roman"/>
                <w:sz w:val="22"/>
              </w:rPr>
              <w:t>1</w:t>
            </w:r>
            <w:r w:rsidR="003A66B0">
              <w:rPr>
                <w:rFonts w:ascii="Times New Roman" w:hAnsi="Times New Roman"/>
                <w:sz w:val="22"/>
              </w:rPr>
              <w:t>.0</w:t>
            </w:r>
            <w:r w:rsidR="00107EA1">
              <w:rPr>
                <w:rFonts w:ascii="Times New Roman" w:hAnsi="Times New Roman"/>
                <w:sz w:val="22"/>
              </w:rPr>
              <w:t>7</w:t>
            </w:r>
            <w:r w:rsidR="003A66B0">
              <w:rPr>
                <w:rFonts w:ascii="Times New Roman" w:hAnsi="Times New Roman"/>
                <w:sz w:val="22"/>
              </w:rPr>
              <w:t>.2025</w:t>
            </w:r>
            <w:r w:rsidR="007B10D9">
              <w:rPr>
                <w:rFonts w:ascii="Times New Roman" w:hAnsi="Times New Roman"/>
                <w:sz w:val="22"/>
                <w:vertAlign w:val="superscript"/>
              </w:rPr>
              <w:t>*</w:t>
            </w:r>
          </w:p>
        </w:tc>
        <w:tc>
          <w:tcPr>
            <w:tcW w:w="2551" w:type="dxa"/>
            <w:vAlign w:val="center"/>
          </w:tcPr>
          <w:p w:rsidR="007B10D9" w:rsidRPr="00E82463" w:rsidRDefault="007B10D9" w:rsidP="00107EA1">
            <w:pPr>
              <w:tabs>
                <w:tab w:val="left" w:pos="851"/>
              </w:tabs>
              <w:spacing w:before="60" w:after="60"/>
              <w:jc w:val="center"/>
              <w:rPr>
                <w:rFonts w:ascii="Times New Roman" w:hAnsi="Times New Roman"/>
                <w:sz w:val="22"/>
              </w:rPr>
            </w:pPr>
            <w:r w:rsidRPr="00E82463">
              <w:rPr>
                <w:rFonts w:ascii="Times New Roman" w:hAnsi="Times New Roman"/>
                <w:sz w:val="22"/>
              </w:rPr>
              <w:t>-</w:t>
            </w:r>
          </w:p>
        </w:tc>
      </w:tr>
    </w:tbl>
    <w:p w:rsidR="0047783A" w:rsidRDefault="00F679ED" w:rsidP="00D45256">
      <w:pPr>
        <w:tabs>
          <w:tab w:val="left" w:pos="851"/>
        </w:tabs>
        <w:spacing w:after="0"/>
        <w:jc w:val="both"/>
        <w:rPr>
          <w:rFonts w:ascii="Times New Roman" w:hAnsi="Times New Roman"/>
          <w:b/>
        </w:rPr>
      </w:pPr>
      <w:bookmarkStart w:id="5" w:name="_Ref500317541"/>
      <w:r>
        <w:rPr>
          <w:rFonts w:ascii="Times New Roman" w:hAnsi="Times New Roman"/>
          <w:b/>
        </w:rPr>
        <w:t>* Provisional date</w:t>
      </w:r>
    </w:p>
    <w:p w:rsidR="00EC2910" w:rsidRDefault="00663BBD">
      <w:pPr>
        <w:tabs>
          <w:tab w:val="left" w:pos="851"/>
        </w:tabs>
        <w:jc w:val="both"/>
        <w:rPr>
          <w:rFonts w:ascii="Times New Roman" w:hAnsi="Times New Roman"/>
          <w:b/>
        </w:rPr>
      </w:pPr>
      <w:r>
        <w:rPr>
          <w:rFonts w:ascii="Times New Roman" w:hAnsi="Times New Roman"/>
          <w:b/>
        </w:rPr>
        <w:t>**</w:t>
      </w:r>
      <w:r w:rsidR="00EC2910" w:rsidRPr="00EC2910">
        <w:rPr>
          <w:rFonts w:ascii="Times New Roman" w:hAnsi="Times New Roman"/>
          <w:b/>
        </w:rPr>
        <w:t>The time zone of the country of the contracting authority.</w:t>
      </w:r>
    </w:p>
    <w:p w:rsidR="0047783A" w:rsidRPr="00D45256" w:rsidRDefault="00A633C6" w:rsidP="00D45256">
      <w:pPr>
        <w:pStyle w:val="Heading1"/>
        <w:rPr>
          <w:lang w:val="en-IE"/>
        </w:rPr>
      </w:pPr>
      <w:bookmarkStart w:id="6" w:name="_Toc42488072"/>
      <w:bookmarkEnd w:id="5"/>
      <w:r w:rsidRPr="00D45256">
        <w:rPr>
          <w:lang w:val="en-IE"/>
        </w:rPr>
        <w:t>3.</w:t>
      </w:r>
      <w:r w:rsidR="00E93182" w:rsidRPr="00D45256">
        <w:rPr>
          <w:lang w:val="en-IE"/>
        </w:rPr>
        <w:tab/>
      </w:r>
      <w:r w:rsidR="0047783A" w:rsidRPr="00D45256">
        <w:rPr>
          <w:lang w:val="en-IE"/>
        </w:rPr>
        <w:t>Participation</w:t>
      </w:r>
      <w:bookmarkEnd w:id="6"/>
    </w:p>
    <w:p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364FFD">
        <w:rPr>
          <w:rFonts w:ascii="Times New Roman" w:hAnsi="Times New Roman"/>
          <w:sz w:val="22"/>
          <w:lang w:val="en-GB"/>
        </w:rPr>
        <w:t>2.4.</w:t>
      </w:r>
      <w:r w:rsidR="00761E70">
        <w:rPr>
          <w:rFonts w:ascii="Times New Roman" w:hAnsi="Times New Roman"/>
          <w:sz w:val="22"/>
          <w:lang w:val="en-GB"/>
        </w:rPr>
        <w:t>1</w:t>
      </w:r>
      <w:r w:rsidR="00B4454C">
        <w:rPr>
          <w:rFonts w:ascii="Times New Roman" w:hAnsi="Times New Roman"/>
          <w:sz w:val="22"/>
          <w:lang w:val="en-GB"/>
        </w:rPr>
        <w:t xml:space="preserve"> (EU restrictive measures</w:t>
      </w:r>
      <w:r w:rsidR="006D653B">
        <w:rPr>
          <w:rStyle w:val="FootnoteReference"/>
          <w:rFonts w:ascii="Times New Roman" w:hAnsi="Times New Roman"/>
          <w:sz w:val="22"/>
          <w:lang w:val="en-GB"/>
        </w:rPr>
        <w:footnoteReference w:id="3"/>
      </w:r>
      <w:r w:rsidR="00B4454C">
        <w:rPr>
          <w:rFonts w:ascii="Times New Roman" w:hAnsi="Times New Roman"/>
          <w:sz w:val="22"/>
          <w:lang w:val="en-GB"/>
        </w:rPr>
        <w:t xml:space="preserve">), </w:t>
      </w:r>
      <w:r w:rsidR="00364FFD">
        <w:rPr>
          <w:rFonts w:ascii="Times New Roman" w:hAnsi="Times New Roman"/>
          <w:sz w:val="22"/>
          <w:lang w:val="en-GB"/>
        </w:rPr>
        <w:t>2.</w:t>
      </w:r>
      <w:r w:rsidR="002A43CB">
        <w:rPr>
          <w:rFonts w:ascii="Times New Roman" w:hAnsi="Times New Roman"/>
          <w:sz w:val="22"/>
          <w:lang w:val="en-GB"/>
        </w:rPr>
        <w:t>4.2.1</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w:t>
      </w:r>
      <w:r w:rsidR="002A43CB">
        <w:rPr>
          <w:rFonts w:ascii="Times New Roman" w:hAnsi="Times New Roman"/>
          <w:sz w:val="22"/>
          <w:lang w:val="en-GB"/>
        </w:rPr>
        <w:t>4.2.2</w:t>
      </w:r>
      <w:r w:rsidR="000947DF" w:rsidRPr="000947DF">
        <w:rPr>
          <w:rFonts w:ascii="Times New Roman" w:hAnsi="Times New Roman"/>
          <w:sz w:val="22"/>
          <w:lang w:val="en-GB"/>
        </w:rPr>
        <w:t>(rejection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w:t>
      </w:r>
      <w:r w:rsidR="002A43CB">
        <w:rPr>
          <w:rFonts w:ascii="Times New Roman" w:hAnsi="Times New Roman"/>
          <w:sz w:val="22"/>
          <w:szCs w:val="22"/>
          <w:lang w:val="en-GB"/>
        </w:rPr>
        <w:t xml:space="preserve">4.2.1 </w:t>
      </w:r>
      <w:r w:rsidR="003F6D98" w:rsidRPr="003F6D98">
        <w:rPr>
          <w:rFonts w:ascii="Times New Roman" w:hAnsi="Times New Roman"/>
          <w:sz w:val="22"/>
          <w:szCs w:val="22"/>
          <w:lang w:val="en-GB"/>
        </w:rPr>
        <w:t xml:space="preserve">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w:t>
      </w:r>
      <w:r w:rsidR="002A43CB">
        <w:rPr>
          <w:rFonts w:ascii="Times New Roman" w:hAnsi="Times New Roman"/>
          <w:sz w:val="22"/>
          <w:szCs w:val="22"/>
          <w:lang w:val="en-GB"/>
        </w:rPr>
        <w:t>/or</w:t>
      </w:r>
      <w:r w:rsidR="003F6D98" w:rsidRPr="003F6D98">
        <w:rPr>
          <w:rFonts w:ascii="Times New Roman" w:hAnsi="Times New Roman"/>
          <w:sz w:val="22"/>
          <w:szCs w:val="22"/>
          <w:lang w:val="en-GB"/>
        </w:rPr>
        <w:t xml:space="preserve">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4"/>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w:t>
      </w:r>
      <w:r w:rsidR="000B614E">
        <w:rPr>
          <w:rFonts w:ascii="Times New Roman" w:hAnsi="Times New Roman"/>
          <w:sz w:val="22"/>
          <w:lang w:val="en-GB"/>
        </w:rPr>
        <w:t>1</w:t>
      </w:r>
      <w:r w:rsidRPr="00E82463">
        <w:rPr>
          <w:rFonts w:ascii="Times New Roman" w:hAnsi="Times New Roman"/>
          <w:sz w:val="22"/>
          <w:lang w:val="en-GB"/>
        </w:rPr>
        <w:t xml:space="preserve">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sidRPr="006D4CEC">
        <w:rPr>
          <w:rFonts w:ascii="Times New Roman" w:hAnsi="Times New Roman"/>
          <w:sz w:val="22"/>
          <w:lang w:val="en-GB"/>
        </w:rPr>
        <w:t>Their tender will be considered irregular.</w:t>
      </w:r>
    </w:p>
    <w:p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lastRenderedPageBreak/>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rsidR="00502B15" w:rsidRDefault="0047783A" w:rsidP="00D45256">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rsidR="0069153C" w:rsidRPr="00A4424B" w:rsidRDefault="0069153C" w:rsidP="00A4424B">
      <w:pPr>
        <w:pStyle w:val="Heading2"/>
        <w:keepNext w:val="0"/>
        <w:tabs>
          <w:tab w:val="num" w:pos="709"/>
        </w:tabs>
        <w:ind w:left="567"/>
        <w:jc w:val="both"/>
        <w:rPr>
          <w:rFonts w:ascii="Times New Roman" w:hAnsi="Times New Roman"/>
          <w:sz w:val="22"/>
          <w:szCs w:val="22"/>
          <w:lang w:val="en-GB"/>
        </w:rPr>
      </w:pPr>
    </w:p>
    <w:p w:rsidR="0047783A" w:rsidRPr="00D45256" w:rsidRDefault="00A633C6" w:rsidP="00D45256">
      <w:pPr>
        <w:pStyle w:val="Heading1"/>
        <w:rPr>
          <w:lang w:val="en-IE"/>
        </w:rPr>
      </w:pPr>
      <w:bookmarkStart w:id="7" w:name="_Toc42488073"/>
      <w:r w:rsidRPr="00D45256">
        <w:rPr>
          <w:lang w:val="en-IE"/>
        </w:rPr>
        <w:t>4</w:t>
      </w:r>
      <w:r w:rsidR="00E93182" w:rsidRPr="00D45256">
        <w:rPr>
          <w:lang w:val="en-IE"/>
        </w:rPr>
        <w:tab/>
      </w:r>
      <w:r w:rsidR="0047783A" w:rsidRPr="00D45256">
        <w:rPr>
          <w:lang w:val="en-IE"/>
        </w:rPr>
        <w:t>Origin</w:t>
      </w:r>
      <w:bookmarkEnd w:id="7"/>
    </w:p>
    <w:p w:rsidR="00195CE1" w:rsidRDefault="000A5F76" w:rsidP="003A66B0">
      <w:pPr>
        <w:pStyle w:val="paragraph"/>
        <w:ind w:left="567" w:hanging="567"/>
        <w:jc w:val="both"/>
        <w:rPr>
          <w:sz w:val="22"/>
        </w:rPr>
      </w:pPr>
      <w:r w:rsidRPr="001A2BC4">
        <w:rPr>
          <w:sz w:val="22"/>
          <w:lang w:val="en-GB"/>
        </w:rPr>
        <w:t xml:space="preserve">4.1 </w:t>
      </w:r>
      <w:r w:rsidRPr="001A2BC4">
        <w:rPr>
          <w:sz w:val="22"/>
          <w:lang w:val="en-GB"/>
        </w:rPr>
        <w:tab/>
      </w:r>
      <w:r w:rsidR="00195CE1" w:rsidRPr="003A66B0">
        <w:rPr>
          <w:sz w:val="22"/>
        </w:rPr>
        <w:t>Unlessotherwiseprovided in the contract</w:t>
      </w:r>
      <w:r w:rsidR="00F669D4" w:rsidRPr="003A66B0">
        <w:rPr>
          <w:sz w:val="22"/>
        </w:rPr>
        <w:t>,</w:t>
      </w:r>
      <w:r w:rsidR="00195CE1" w:rsidRPr="003A66B0">
        <w:rPr>
          <w:sz w:val="22"/>
        </w:rPr>
        <w:t xml:space="preserve"> all goods purchased under the contract must originate in a Member State of the European Union or in a country or territory of the regions covered and/or authorised by the specific instrument applicable to the programme specified in the Additional information about the contract notice (Annex </w:t>
      </w:r>
      <w:r w:rsidR="005E7E79" w:rsidRPr="003A66B0">
        <w:rPr>
          <w:sz w:val="22"/>
        </w:rPr>
        <w:t>a</w:t>
      </w:r>
      <w:r w:rsidR="00195CE1" w:rsidRPr="003A66B0">
        <w:rPr>
          <w:sz w:val="22"/>
        </w:rPr>
        <w:t>5f) or, if applicable in the Contract Notice (C2). For 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Code'simplementing provisions (Commission Regulation (EEC) No 2454/93.</w:t>
      </w:r>
    </w:p>
    <w:p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CA6FE4">
        <w:rPr>
          <w:rFonts w:ascii="Times New Roman" w:hAnsi="Times New Roman"/>
          <w:sz w:val="22"/>
          <w:lang w:val="en-GB"/>
        </w:rPr>
        <w:t xml:space="preserve">Tenderers must provide an undertaking signed by their representative certifying compliance with this requirement. </w:t>
      </w:r>
      <w:r w:rsidR="00696FDD" w:rsidRPr="00CA6FE4">
        <w:rPr>
          <w:rFonts w:ascii="Times New Roman" w:hAnsi="Times New Roman"/>
          <w:sz w:val="22"/>
          <w:lang w:val="en-GB"/>
        </w:rPr>
        <w:t>The tenderer is obliged to verify that the provided information is correct. Otherwise, the tenderer risks to be excluded because of negligently misrepresenting information.</w:t>
      </w:r>
    </w:p>
    <w:p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rsidR="0047783A" w:rsidRPr="00D45256" w:rsidRDefault="00A633C6" w:rsidP="00D45256">
      <w:pPr>
        <w:pStyle w:val="Heading1"/>
        <w:rPr>
          <w:lang w:val="en-IE"/>
        </w:rPr>
      </w:pPr>
      <w:bookmarkStart w:id="8" w:name="_Toc42488074"/>
      <w:r w:rsidRPr="00D45256">
        <w:rPr>
          <w:lang w:val="en-IE"/>
        </w:rPr>
        <w:t>5.</w:t>
      </w:r>
      <w:r w:rsidR="00E93182" w:rsidRPr="00D45256">
        <w:rPr>
          <w:lang w:val="en-IE"/>
        </w:rPr>
        <w:tab/>
      </w:r>
      <w:r w:rsidR="00BA2D4C" w:rsidRPr="00D45256">
        <w:rPr>
          <w:lang w:val="en-IE"/>
        </w:rPr>
        <w:t>T</w:t>
      </w:r>
      <w:r w:rsidR="0047783A" w:rsidRPr="00D45256">
        <w:rPr>
          <w:lang w:val="en-IE"/>
        </w:rPr>
        <w:t>ype of contract</w:t>
      </w:r>
      <w:bookmarkEnd w:id="8"/>
    </w:p>
    <w:p w:rsidR="0047783A" w:rsidRPr="00E82463" w:rsidRDefault="00A2701B" w:rsidP="00D45256">
      <w:pPr>
        <w:pStyle w:val="Heading2"/>
        <w:keepNext w:val="0"/>
        <w:spacing w:before="0"/>
        <w:ind w:left="567"/>
        <w:jc w:val="both"/>
        <w:rPr>
          <w:rFonts w:ascii="Times New Roman" w:hAnsi="Times New Roman"/>
          <w:sz w:val="22"/>
          <w:lang w:val="en-GB"/>
        </w:rPr>
      </w:pPr>
      <w:r w:rsidRPr="00CA6FE4">
        <w:rPr>
          <w:rFonts w:ascii="Times New Roman" w:hAnsi="Times New Roman"/>
          <w:sz w:val="22"/>
          <w:lang w:val="en-GB"/>
        </w:rPr>
        <w:t>U</w:t>
      </w:r>
      <w:r w:rsidR="0047783A" w:rsidRPr="00CA6FE4">
        <w:rPr>
          <w:rFonts w:ascii="Times New Roman" w:hAnsi="Times New Roman"/>
          <w:sz w:val="22"/>
          <w:lang w:val="en-GB"/>
        </w:rPr>
        <w:t>nit-price</w:t>
      </w:r>
    </w:p>
    <w:p w:rsidR="0047783A" w:rsidRPr="00D45256" w:rsidRDefault="00A633C6" w:rsidP="00D45256">
      <w:pPr>
        <w:pStyle w:val="Heading1"/>
        <w:rPr>
          <w:lang w:val="en-IE"/>
        </w:rPr>
      </w:pPr>
      <w:bookmarkStart w:id="9" w:name="_Toc42488075"/>
      <w:r w:rsidRPr="00D45256">
        <w:rPr>
          <w:lang w:val="en-IE"/>
        </w:rPr>
        <w:t>6.</w:t>
      </w:r>
      <w:r w:rsidR="00E93182" w:rsidRPr="00D45256">
        <w:rPr>
          <w:lang w:val="en-IE"/>
        </w:rPr>
        <w:tab/>
      </w:r>
      <w:r w:rsidR="0047783A" w:rsidRPr="00D45256">
        <w:rPr>
          <w:lang w:val="en-IE"/>
        </w:rPr>
        <w:t>Currency</w:t>
      </w:r>
      <w:bookmarkEnd w:id="9"/>
    </w:p>
    <w:p w:rsidR="0047783A" w:rsidRPr="00E82463" w:rsidRDefault="0047783A" w:rsidP="00D45256">
      <w:pPr>
        <w:pStyle w:val="Heading2"/>
        <w:keepNext w:val="0"/>
        <w:spacing w:before="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66145D" w:rsidRPr="00CA6FE4">
        <w:rPr>
          <w:rFonts w:ascii="Times New Roman" w:hAnsi="Times New Roman"/>
          <w:bCs/>
          <w:sz w:val="22"/>
          <w:szCs w:val="22"/>
          <w:lang w:val="en-GB"/>
        </w:rPr>
        <w:t>E</w:t>
      </w:r>
      <w:r w:rsidRPr="00CA6FE4">
        <w:rPr>
          <w:rFonts w:ascii="Times New Roman" w:hAnsi="Times New Roman"/>
          <w:bCs/>
          <w:sz w:val="22"/>
          <w:szCs w:val="22"/>
          <w:lang w:val="en-GB"/>
        </w:rPr>
        <w:t>uro</w:t>
      </w:r>
      <w:r w:rsidR="005F1EC7" w:rsidRPr="00A4424B">
        <w:rPr>
          <w:rFonts w:ascii="Times New Roman" w:hAnsi="Times New Roman"/>
          <w:sz w:val="22"/>
          <w:lang w:val="en-GB"/>
        </w:rPr>
        <w:t>.</w:t>
      </w:r>
    </w:p>
    <w:p w:rsidR="0047783A" w:rsidRPr="00D45256" w:rsidRDefault="00A633C6" w:rsidP="00D45256">
      <w:pPr>
        <w:pStyle w:val="Heading1"/>
        <w:rPr>
          <w:lang w:val="en-IE"/>
        </w:rPr>
      </w:pPr>
      <w:bookmarkStart w:id="10" w:name="_Toc42488076"/>
      <w:r w:rsidRPr="00D45256">
        <w:rPr>
          <w:lang w:val="en-IE"/>
        </w:rPr>
        <w:t>7</w:t>
      </w:r>
      <w:r w:rsidR="00E93182" w:rsidRPr="00D45256">
        <w:rPr>
          <w:lang w:val="en-IE"/>
        </w:rPr>
        <w:tab/>
      </w:r>
      <w:r w:rsidR="0047783A" w:rsidRPr="00D45256">
        <w:rPr>
          <w:lang w:val="en-IE"/>
        </w:rPr>
        <w:t>Lots</w:t>
      </w:r>
      <w:bookmarkEnd w:id="10"/>
    </w:p>
    <w:p w:rsidR="0047783A" w:rsidRPr="00E82463" w:rsidRDefault="0047783A" w:rsidP="00E82463">
      <w:pPr>
        <w:ind w:left="567"/>
        <w:jc w:val="both"/>
        <w:rPr>
          <w:rFonts w:ascii="Times New Roman" w:hAnsi="Times New Roman"/>
          <w:sz w:val="22"/>
        </w:rPr>
      </w:pPr>
      <w:r w:rsidRPr="00CA6FE4">
        <w:rPr>
          <w:rFonts w:ascii="Times New Roman" w:hAnsi="Times New Roman"/>
          <w:sz w:val="22"/>
        </w:rPr>
        <w:t>This tender procedure is not divided into lots.</w:t>
      </w:r>
    </w:p>
    <w:p w:rsidR="0047783A" w:rsidRPr="00E82463" w:rsidRDefault="0047783A" w:rsidP="009D5CB2">
      <w:pPr>
        <w:pStyle w:val="Heading2"/>
        <w:keepNext w:val="0"/>
        <w:ind w:left="567" w:hanging="567"/>
        <w:jc w:val="both"/>
        <w:rPr>
          <w:rFonts w:ascii="Times New Roman" w:hAnsi="Times New Roman"/>
          <w:lang w:val="en-GB"/>
        </w:rPr>
      </w:pPr>
    </w:p>
    <w:p w:rsidR="0047783A" w:rsidRPr="00D45256" w:rsidRDefault="00A633C6" w:rsidP="00D45256">
      <w:pPr>
        <w:pStyle w:val="Heading1"/>
        <w:rPr>
          <w:lang w:val="en-IE"/>
        </w:rPr>
      </w:pPr>
      <w:bookmarkStart w:id="11" w:name="_Toc42488077"/>
      <w:r w:rsidRPr="00D45256">
        <w:rPr>
          <w:lang w:val="en-IE"/>
        </w:rPr>
        <w:t>8</w:t>
      </w:r>
      <w:r w:rsidR="00E93182" w:rsidRPr="00D45256">
        <w:rPr>
          <w:lang w:val="en-IE"/>
        </w:rPr>
        <w:tab/>
      </w:r>
      <w:r w:rsidR="0047783A" w:rsidRPr="00D45256">
        <w:rPr>
          <w:lang w:val="en-IE"/>
        </w:rPr>
        <w:t>Period of validity</w:t>
      </w:r>
      <w:bookmarkEnd w:id="11"/>
    </w:p>
    <w:p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lastRenderedPageBreak/>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w:t>
      </w:r>
      <w:r w:rsidR="00201C47">
        <w:rPr>
          <w:rFonts w:ascii="Times New Roman" w:hAnsi="Times New Roman"/>
          <w:sz w:val="22"/>
          <w:lang w:val="en-GB"/>
        </w:rPr>
        <w:t>4.2.1.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rsidR="0047783A" w:rsidRPr="00D45256" w:rsidRDefault="00A633C6" w:rsidP="00D45256">
      <w:pPr>
        <w:pStyle w:val="Heading1"/>
        <w:rPr>
          <w:lang w:val="en-IE"/>
        </w:rPr>
      </w:pPr>
      <w:bookmarkStart w:id="12" w:name="_Toc42488078"/>
      <w:bookmarkStart w:id="13" w:name="_Ref500330462"/>
      <w:r w:rsidRPr="00D45256">
        <w:rPr>
          <w:lang w:val="en-IE"/>
        </w:rPr>
        <w:t>9</w:t>
      </w:r>
      <w:r w:rsidR="00E93182" w:rsidRPr="00D45256">
        <w:rPr>
          <w:lang w:val="en-IE"/>
        </w:rPr>
        <w:tab/>
      </w:r>
      <w:r w:rsidR="0047783A" w:rsidRPr="00D45256">
        <w:rPr>
          <w:lang w:val="en-IE"/>
        </w:rPr>
        <w:t xml:space="preserve">Language of </w:t>
      </w:r>
      <w:bookmarkEnd w:id="12"/>
      <w:r w:rsidR="009A3A53" w:rsidRPr="00D45256">
        <w:rPr>
          <w:lang w:val="en-IE"/>
        </w:rPr>
        <w:t>tenders</w:t>
      </w:r>
    </w:p>
    <w:bookmarkEnd w:id="13"/>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rsidR="0047783A" w:rsidRPr="00D45256" w:rsidRDefault="00A633C6" w:rsidP="00D45256">
      <w:pPr>
        <w:pStyle w:val="Heading1"/>
        <w:rPr>
          <w:lang w:val="en-IE"/>
        </w:rPr>
      </w:pPr>
      <w:bookmarkStart w:id="14" w:name="_Toc42488079"/>
      <w:r w:rsidRPr="00D45256">
        <w:rPr>
          <w:lang w:val="en-IE"/>
        </w:rPr>
        <w:t>10.</w:t>
      </w:r>
      <w:r w:rsidR="005A3D33" w:rsidRPr="00D45256">
        <w:rPr>
          <w:lang w:val="en-IE"/>
        </w:rPr>
        <w:tab/>
      </w:r>
      <w:r w:rsidR="0047783A" w:rsidRPr="00D45256">
        <w:rPr>
          <w:lang w:val="en-IE"/>
        </w:rPr>
        <w:t>Submission of tenders</w:t>
      </w:r>
      <w:bookmarkEnd w:id="14"/>
    </w:p>
    <w:p w:rsidR="004723DE" w:rsidRPr="00AC0E16" w:rsidRDefault="0047783A" w:rsidP="00CA6FE4">
      <w:pPr>
        <w:ind w:left="567" w:hanging="567"/>
        <w:rPr>
          <w:rFonts w:ascii="Times New Roman" w:hAnsi="Times New Roman"/>
          <w:snapToGrid/>
          <w:sz w:val="22"/>
          <w:szCs w:val="22"/>
          <w:lang w:eastAsia="en-GB"/>
        </w:rPr>
      </w:pPr>
      <w:bookmarkStart w:id="15" w:name="_Ref500326737"/>
      <w:r w:rsidRPr="00E82463">
        <w:rPr>
          <w:rFonts w:ascii="Times New Roman" w:hAnsi="Times New Roman"/>
          <w:sz w:val="22"/>
        </w:rPr>
        <w:t>10.1</w:t>
      </w:r>
      <w:r w:rsidR="00E93A21">
        <w:rPr>
          <w:rFonts w:ascii="Times New Roman" w:hAnsi="Times New Roman"/>
          <w:sz w:val="22"/>
        </w:rPr>
        <w:tab/>
      </w:r>
      <w:r w:rsidR="004723DE" w:rsidRPr="00AC0E16">
        <w:rPr>
          <w:rFonts w:ascii="Times New Roman" w:hAnsi="Times New Roman"/>
          <w:snapToGrid/>
          <w:sz w:val="22"/>
          <w:szCs w:val="22"/>
          <w:lang w:eastAsia="en-GB"/>
        </w:rPr>
        <w:t xml:space="preserve">In order to participate, economic operators will not need to register in the European Commission's Participant Register - an online register of organisations participating in EU calls for tenders or proposals (PIC registration). </w:t>
      </w:r>
      <w:r w:rsidR="00EF08B7" w:rsidRPr="00AC0E16">
        <w:rPr>
          <w:rFonts w:ascii="Times New Roman" w:hAnsi="Times New Roman"/>
          <w:snapToGrid/>
          <w:sz w:val="22"/>
          <w:szCs w:val="22"/>
          <w:lang w:eastAsia="en-GB"/>
        </w:rPr>
        <w:t>Therefore,</w:t>
      </w:r>
      <w:r w:rsidR="004723DE" w:rsidRPr="00AC0E16">
        <w:rPr>
          <w:rFonts w:ascii="Times New Roman" w:hAnsi="Times New Roman"/>
          <w:snapToGrid/>
          <w:sz w:val="22"/>
          <w:szCs w:val="22"/>
          <w:lang w:eastAsia="en-GB"/>
        </w:rPr>
        <w:t xml:space="preserve"> the PIC number will not need to be filled in </w:t>
      </w:r>
      <w:bookmarkStart w:id="16" w:name="_Hlk184732239"/>
      <w:r w:rsidR="004723DE" w:rsidRPr="00AC0E16">
        <w:rPr>
          <w:rFonts w:ascii="Times New Roman" w:hAnsi="Times New Roman"/>
          <w:snapToGrid/>
          <w:sz w:val="22"/>
          <w:szCs w:val="22"/>
          <w:lang w:eastAsia="en-GB"/>
        </w:rPr>
        <w:t xml:space="preserve">in the tender form (Annex </w:t>
      </w:r>
      <w:r w:rsidR="006E3CA5" w:rsidRPr="00AC0E16">
        <w:rPr>
          <w:rFonts w:ascii="Times New Roman" w:hAnsi="Times New Roman"/>
          <w:sz w:val="22"/>
        </w:rPr>
        <w:t>c4l</w:t>
      </w:r>
      <w:r w:rsidR="004723DE" w:rsidRPr="00AC0E16">
        <w:rPr>
          <w:rFonts w:ascii="Times New Roman" w:hAnsi="Times New Roman"/>
          <w:snapToGrid/>
          <w:sz w:val="22"/>
          <w:szCs w:val="22"/>
          <w:lang w:eastAsia="en-GB"/>
        </w:rPr>
        <w:t>)</w:t>
      </w:r>
      <w:bookmarkEnd w:id="16"/>
      <w:r w:rsidR="004723DE" w:rsidRPr="00AC0E16">
        <w:rPr>
          <w:rFonts w:ascii="Times New Roman" w:hAnsi="Times New Roman"/>
          <w:snapToGrid/>
          <w:sz w:val="22"/>
          <w:szCs w:val="22"/>
          <w:lang w:eastAsia="en-GB"/>
        </w:rPr>
        <w:t>.</w:t>
      </w:r>
    </w:p>
    <w:p w:rsidR="0047783A" w:rsidRPr="00AC0E16" w:rsidRDefault="0047783A" w:rsidP="00E93A21">
      <w:pPr>
        <w:pStyle w:val="Heading2"/>
        <w:keepNext w:val="0"/>
        <w:ind w:left="567"/>
        <w:jc w:val="both"/>
        <w:rPr>
          <w:rFonts w:ascii="Times New Roman" w:hAnsi="Times New Roman"/>
          <w:sz w:val="22"/>
          <w:lang w:val="en-GB"/>
        </w:rPr>
      </w:pPr>
      <w:r w:rsidRPr="00AC0E16">
        <w:rPr>
          <w:rFonts w:ascii="Times New Roman" w:hAnsi="Times New Roman"/>
          <w:b/>
          <w:sz w:val="22"/>
          <w:lang w:val="en-GB"/>
        </w:rPr>
        <w:t>T</w:t>
      </w:r>
      <w:r w:rsidR="00803383" w:rsidRPr="00AC0E16">
        <w:rPr>
          <w:rFonts w:ascii="Times New Roman" w:hAnsi="Times New Roman"/>
          <w:b/>
          <w:sz w:val="22"/>
          <w:lang w:val="en-GB"/>
        </w:rPr>
        <w:t>enders must be sent to t</w:t>
      </w:r>
      <w:r w:rsidR="00D62067" w:rsidRPr="00AC0E16">
        <w:rPr>
          <w:rFonts w:ascii="Times New Roman" w:hAnsi="Times New Roman"/>
          <w:b/>
          <w:sz w:val="22"/>
          <w:lang w:val="en-GB"/>
        </w:rPr>
        <w:t xml:space="preserve">he </w:t>
      </w:r>
      <w:r w:rsidR="005C1201" w:rsidRPr="00AC0E16">
        <w:rPr>
          <w:rFonts w:ascii="Times New Roman" w:hAnsi="Times New Roman"/>
          <w:b/>
          <w:sz w:val="22"/>
          <w:lang w:val="en-GB"/>
        </w:rPr>
        <w:t>c</w:t>
      </w:r>
      <w:r w:rsidR="00D62067" w:rsidRPr="00AC0E16">
        <w:rPr>
          <w:rFonts w:ascii="Times New Roman" w:hAnsi="Times New Roman"/>
          <w:b/>
          <w:sz w:val="22"/>
          <w:lang w:val="en-GB"/>
        </w:rPr>
        <w:t xml:space="preserve">ontracting </w:t>
      </w:r>
      <w:r w:rsidR="005C1201" w:rsidRPr="00AC0E16">
        <w:rPr>
          <w:rFonts w:ascii="Times New Roman" w:hAnsi="Times New Roman"/>
          <w:b/>
          <w:sz w:val="22"/>
          <w:lang w:val="en-GB"/>
        </w:rPr>
        <w:t>a</w:t>
      </w:r>
      <w:r w:rsidR="00D62067" w:rsidRPr="00AC0E16">
        <w:rPr>
          <w:rFonts w:ascii="Times New Roman" w:hAnsi="Times New Roman"/>
          <w:b/>
          <w:sz w:val="22"/>
          <w:lang w:val="en-GB"/>
        </w:rPr>
        <w:t xml:space="preserve">uthority </w:t>
      </w:r>
      <w:r w:rsidRPr="00AC0E16">
        <w:rPr>
          <w:rFonts w:ascii="Times New Roman" w:hAnsi="Times New Roman"/>
          <w:b/>
          <w:sz w:val="22"/>
          <w:lang w:val="en-GB"/>
        </w:rPr>
        <w:t xml:space="preserve">before the deadline specified in </w:t>
      </w:r>
      <w:r w:rsidR="00587BC9" w:rsidRPr="00AC0E16">
        <w:rPr>
          <w:rFonts w:ascii="Times New Roman" w:hAnsi="Times New Roman"/>
          <w:b/>
          <w:sz w:val="22"/>
          <w:lang w:val="en-GB"/>
        </w:rPr>
        <w:t>Contract Notice</w:t>
      </w:r>
      <w:r w:rsidRPr="00AC0E16">
        <w:rPr>
          <w:rFonts w:ascii="Times New Roman" w:hAnsi="Times New Roman"/>
          <w:b/>
          <w:sz w:val="22"/>
          <w:lang w:val="en-GB"/>
        </w:rPr>
        <w:t>.</w:t>
      </w:r>
      <w:r w:rsidRPr="00AC0E16">
        <w:rPr>
          <w:rFonts w:ascii="Times New Roman" w:hAnsi="Times New Roman"/>
          <w:sz w:val="22"/>
          <w:lang w:val="en-GB"/>
        </w:rPr>
        <w:t xml:space="preserve"> They must include all the documents specified in point 11 of these Instructions and be sent to the following address:</w:t>
      </w:r>
    </w:p>
    <w:bookmarkEnd w:id="15"/>
    <w:p w:rsidR="00AC0E16" w:rsidRDefault="00AC0E16" w:rsidP="00AC0E16">
      <w:pPr>
        <w:spacing w:before="0"/>
        <w:ind w:left="567"/>
        <w:jc w:val="center"/>
        <w:rPr>
          <w:rFonts w:ascii="Times New Roman" w:hAnsi="Times New Roman"/>
          <w:sz w:val="22"/>
          <w:szCs w:val="22"/>
        </w:rPr>
      </w:pPr>
      <w:r w:rsidRPr="00B1444C">
        <w:rPr>
          <w:rFonts w:ascii="Times New Roman" w:hAnsi="Times New Roman"/>
          <w:sz w:val="22"/>
          <w:szCs w:val="22"/>
        </w:rPr>
        <w:t>Municipality of Negotino</w:t>
      </w:r>
      <w:r w:rsidRPr="00B1444C">
        <w:rPr>
          <w:rFonts w:ascii="Times New Roman" w:hAnsi="Times New Roman"/>
          <w:sz w:val="22"/>
          <w:szCs w:val="22"/>
        </w:rPr>
        <w:br/>
        <w:t>str. Aco AdziIlov  no.2, Negotino</w:t>
      </w:r>
    </w:p>
    <w:p w:rsidR="0047783A" w:rsidRPr="00AC0E16" w:rsidRDefault="0047783A" w:rsidP="000D1B17">
      <w:pPr>
        <w:ind w:left="567"/>
        <w:jc w:val="both"/>
        <w:rPr>
          <w:rFonts w:ascii="Times New Roman" w:hAnsi="Times New Roman"/>
          <w:sz w:val="22"/>
        </w:rPr>
      </w:pPr>
      <w:r w:rsidRPr="00AC0E16">
        <w:rPr>
          <w:rFonts w:ascii="Times New Roman" w:hAnsi="Times New Roman"/>
          <w:sz w:val="22"/>
        </w:rPr>
        <w:t>If the tenders are hand delivered they should be delivered to the following address:</w:t>
      </w:r>
    </w:p>
    <w:p w:rsidR="00AC0E16" w:rsidRDefault="00AC0E16" w:rsidP="00AC0E16">
      <w:pPr>
        <w:spacing w:before="0"/>
        <w:ind w:left="567"/>
        <w:jc w:val="center"/>
        <w:rPr>
          <w:rFonts w:ascii="Times New Roman" w:hAnsi="Times New Roman"/>
          <w:sz w:val="22"/>
          <w:szCs w:val="22"/>
        </w:rPr>
      </w:pPr>
      <w:r w:rsidRPr="00B1444C">
        <w:rPr>
          <w:rFonts w:ascii="Times New Roman" w:hAnsi="Times New Roman"/>
          <w:sz w:val="22"/>
          <w:szCs w:val="22"/>
        </w:rPr>
        <w:t>Municipality of Negotino</w:t>
      </w:r>
      <w:r w:rsidRPr="00B1444C">
        <w:rPr>
          <w:rFonts w:ascii="Times New Roman" w:hAnsi="Times New Roman"/>
          <w:sz w:val="22"/>
          <w:szCs w:val="22"/>
        </w:rPr>
        <w:br/>
        <w:t>str. Aco AdziIlov  no.2, Negotino</w:t>
      </w:r>
    </w:p>
    <w:p w:rsidR="000B013D" w:rsidRPr="00AC0E16" w:rsidRDefault="00AC0E16" w:rsidP="00AC0E16">
      <w:pPr>
        <w:spacing w:before="0"/>
        <w:ind w:left="567"/>
        <w:jc w:val="center"/>
        <w:rPr>
          <w:rFonts w:ascii="Times New Roman" w:hAnsi="Times New Roman"/>
          <w:sz w:val="22"/>
        </w:rPr>
      </w:pPr>
      <w:r w:rsidRPr="00B1444C">
        <w:rPr>
          <w:rFonts w:ascii="Times New Roman" w:hAnsi="Times New Roman"/>
          <w:sz w:val="22"/>
          <w:szCs w:val="22"/>
        </w:rPr>
        <w:t>08.00 – 16.00 – opening hours</w:t>
      </w:r>
    </w:p>
    <w:p w:rsidR="0047783A" w:rsidRPr="00AC0E16" w:rsidRDefault="0047783A" w:rsidP="009956B4">
      <w:pPr>
        <w:ind w:left="567"/>
        <w:jc w:val="both"/>
        <w:rPr>
          <w:rFonts w:ascii="Times New Roman" w:hAnsi="Times New Roman"/>
          <w:sz w:val="22"/>
        </w:rPr>
      </w:pPr>
      <w:r w:rsidRPr="00AC0E16">
        <w:rPr>
          <w:rFonts w:ascii="Times New Roman" w:hAnsi="Times New Roman"/>
          <w:sz w:val="22"/>
        </w:rPr>
        <w:t>Tenders must comply with the following conditions:</w:t>
      </w:r>
    </w:p>
    <w:p w:rsidR="0047783A" w:rsidRPr="00AC0E16" w:rsidRDefault="0047783A" w:rsidP="000D1B17">
      <w:pPr>
        <w:pStyle w:val="Heading2"/>
        <w:ind w:left="567" w:hanging="567"/>
        <w:jc w:val="both"/>
        <w:rPr>
          <w:rFonts w:ascii="Times New Roman" w:hAnsi="Times New Roman"/>
          <w:lang w:val="en-GB"/>
        </w:rPr>
      </w:pPr>
      <w:bookmarkStart w:id="17" w:name="_Ref500330141"/>
      <w:r w:rsidRPr="00E82463">
        <w:rPr>
          <w:rFonts w:ascii="Times New Roman" w:hAnsi="Times New Roman"/>
          <w:sz w:val="22"/>
          <w:lang w:val="en-GB"/>
        </w:rPr>
        <w:lastRenderedPageBreak/>
        <w:t>10.</w:t>
      </w:r>
      <w:r w:rsidR="00F953EB">
        <w:rPr>
          <w:rFonts w:ascii="Times New Roman" w:hAnsi="Times New Roman"/>
          <w:sz w:val="22"/>
          <w:lang w:val="en-GB"/>
        </w:rPr>
        <w:t>2</w:t>
      </w:r>
      <w:r w:rsidRPr="00E82463">
        <w:rPr>
          <w:rFonts w:ascii="Times New Roman" w:hAnsi="Times New Roman"/>
          <w:sz w:val="22"/>
          <w:lang w:val="en-GB"/>
        </w:rPr>
        <w:tab/>
      </w:r>
      <w:r w:rsidRPr="00AC0E16">
        <w:rPr>
          <w:rFonts w:ascii="Times New Roman" w:hAnsi="Times New Roman"/>
          <w:sz w:val="22"/>
          <w:lang w:val="en-GB"/>
        </w:rPr>
        <w:t xml:space="preserve">All tenders must be submitted in one original, marked </w:t>
      </w:r>
      <w:r w:rsidR="006A5F84" w:rsidRPr="00AC0E16">
        <w:rPr>
          <w:rFonts w:ascii="Times New Roman" w:hAnsi="Times New Roman"/>
          <w:sz w:val="22"/>
          <w:lang w:val="en-GB"/>
        </w:rPr>
        <w:t>‘</w:t>
      </w:r>
      <w:r w:rsidRPr="00AC0E16">
        <w:rPr>
          <w:rFonts w:ascii="Times New Roman" w:hAnsi="Times New Roman"/>
          <w:sz w:val="22"/>
          <w:lang w:val="en-GB"/>
        </w:rPr>
        <w:t>original</w:t>
      </w:r>
      <w:r w:rsidR="006A5F84" w:rsidRPr="00AC0E16">
        <w:rPr>
          <w:rFonts w:ascii="Times New Roman" w:hAnsi="Times New Roman"/>
          <w:sz w:val="22"/>
          <w:lang w:val="en-GB"/>
        </w:rPr>
        <w:t>’</w:t>
      </w:r>
      <w:r w:rsidRPr="00AC0E16">
        <w:rPr>
          <w:rFonts w:ascii="Times New Roman" w:hAnsi="Times New Roman"/>
          <w:sz w:val="22"/>
          <w:lang w:val="en-GB"/>
        </w:rPr>
        <w:t xml:space="preserve">, and </w:t>
      </w:r>
      <w:r w:rsidR="00AC0E16" w:rsidRPr="00AC0E16">
        <w:rPr>
          <w:rFonts w:ascii="Times New Roman" w:hAnsi="Times New Roman"/>
          <w:sz w:val="22"/>
          <w:lang w:val="en-GB"/>
        </w:rPr>
        <w:t>2</w:t>
      </w:r>
      <w:r w:rsidRPr="00AC0E16">
        <w:rPr>
          <w:rFonts w:ascii="Times New Roman" w:hAnsi="Times New Roman"/>
          <w:sz w:val="22"/>
          <w:lang w:val="en-GB"/>
        </w:rPr>
        <w:t xml:space="preserve"> copies signed in the same way as the original and marked </w:t>
      </w:r>
      <w:r w:rsidR="006A5F84" w:rsidRPr="00AC0E16">
        <w:rPr>
          <w:rFonts w:ascii="Times New Roman" w:hAnsi="Times New Roman"/>
          <w:sz w:val="22"/>
          <w:lang w:val="en-GB"/>
        </w:rPr>
        <w:t>‘</w:t>
      </w:r>
      <w:r w:rsidRPr="00AC0E16">
        <w:rPr>
          <w:rFonts w:ascii="Times New Roman" w:hAnsi="Times New Roman"/>
          <w:sz w:val="22"/>
          <w:lang w:val="en-GB"/>
        </w:rPr>
        <w:t>copy</w:t>
      </w:r>
      <w:r w:rsidR="006A5F84" w:rsidRPr="00AC0E16">
        <w:rPr>
          <w:rFonts w:ascii="Times New Roman" w:hAnsi="Times New Roman"/>
          <w:sz w:val="22"/>
          <w:lang w:val="en-GB"/>
        </w:rPr>
        <w:t>’</w:t>
      </w:r>
      <w:r w:rsidRPr="00AC0E16">
        <w:rPr>
          <w:rFonts w:ascii="Times New Roman" w:hAnsi="Times New Roman"/>
          <w:sz w:val="22"/>
          <w:lang w:val="en-GB"/>
        </w:rPr>
        <w:t>.</w:t>
      </w:r>
    </w:p>
    <w:bookmarkEnd w:id="17"/>
    <w:p w:rsidR="0086759F" w:rsidRPr="00AC0E16" w:rsidRDefault="0047783A" w:rsidP="000D1B17">
      <w:pPr>
        <w:pStyle w:val="Heading2"/>
        <w:ind w:left="567" w:hanging="567"/>
        <w:jc w:val="both"/>
        <w:rPr>
          <w:rFonts w:ascii="Times New Roman" w:hAnsi="Times New Roman"/>
          <w:sz w:val="22"/>
          <w:lang w:val="en-GB"/>
        </w:rPr>
      </w:pPr>
      <w:r w:rsidRPr="00AC0E16">
        <w:rPr>
          <w:rFonts w:ascii="Times New Roman" w:hAnsi="Times New Roman"/>
          <w:sz w:val="22"/>
          <w:lang w:val="en-GB"/>
        </w:rPr>
        <w:t>10.</w:t>
      </w:r>
      <w:r w:rsidR="00F953EB" w:rsidRPr="00AC0E16">
        <w:rPr>
          <w:rFonts w:ascii="Times New Roman" w:hAnsi="Times New Roman"/>
          <w:sz w:val="22"/>
          <w:lang w:val="en-GB"/>
        </w:rPr>
        <w:t>3</w:t>
      </w:r>
      <w:r w:rsidRPr="00AC0E16">
        <w:rPr>
          <w:rFonts w:ascii="Times New Roman" w:hAnsi="Times New Roman"/>
          <w:sz w:val="22"/>
          <w:lang w:val="en-GB"/>
        </w:rPr>
        <w:tab/>
      </w:r>
      <w:r w:rsidR="003F2375" w:rsidRPr="00AC0E16">
        <w:rPr>
          <w:rFonts w:ascii="Times New Roman" w:hAnsi="Times New Roman"/>
          <w:sz w:val="22"/>
          <w:lang w:val="en-GB"/>
        </w:rPr>
        <w:t>The tenders should be submitted:</w:t>
      </w:r>
    </w:p>
    <w:p w:rsidR="0086759F" w:rsidRPr="00AC0E16" w:rsidRDefault="0086759F" w:rsidP="00D45256">
      <w:pPr>
        <w:pStyle w:val="Heading2"/>
        <w:ind w:left="1134" w:hanging="567"/>
        <w:jc w:val="both"/>
        <w:rPr>
          <w:rFonts w:ascii="Times New Roman" w:hAnsi="Times New Roman"/>
          <w:sz w:val="22"/>
          <w:lang w:val="en-GB"/>
        </w:rPr>
      </w:pPr>
      <w:r w:rsidRPr="00AC0E16">
        <w:rPr>
          <w:rFonts w:ascii="Times New Roman" w:hAnsi="Times New Roman"/>
          <w:sz w:val="22"/>
          <w:lang w:val="en-GB"/>
        </w:rPr>
        <w:t>(a)</w:t>
      </w:r>
      <w:r w:rsidR="00E93A21" w:rsidRPr="00AC0E16">
        <w:rPr>
          <w:rFonts w:ascii="Times New Roman" w:hAnsi="Times New Roman"/>
          <w:sz w:val="22"/>
          <w:lang w:val="en-GB"/>
        </w:rPr>
        <w:tab/>
      </w:r>
      <w:r w:rsidRPr="00AC0E16">
        <w:rPr>
          <w:rFonts w:ascii="Times New Roman" w:hAnsi="Times New Roman"/>
          <w:sz w:val="22"/>
          <w:lang w:val="en-GB"/>
        </w:rPr>
        <w:t>either by post or by courier service, in which case the evidence shall be constituted by the postmark or the date of the deposit slip</w:t>
      </w:r>
      <w:r w:rsidR="00803383" w:rsidRPr="00AC0E16">
        <w:rPr>
          <w:rStyle w:val="FootnoteReference"/>
          <w:rFonts w:ascii="Times New Roman" w:hAnsi="Times New Roman"/>
          <w:sz w:val="22"/>
          <w:szCs w:val="22"/>
          <w:lang w:val="en-US"/>
        </w:rPr>
        <w:footnoteReference w:id="5"/>
      </w:r>
    </w:p>
    <w:p w:rsidR="0086759F" w:rsidRPr="00AC0E16" w:rsidRDefault="0086759F" w:rsidP="00D45256">
      <w:pPr>
        <w:pStyle w:val="Heading2"/>
        <w:ind w:left="1134" w:hanging="567"/>
        <w:jc w:val="both"/>
        <w:rPr>
          <w:rFonts w:ascii="Times New Roman" w:hAnsi="Times New Roman"/>
          <w:sz w:val="22"/>
          <w:lang w:val="en-GB"/>
        </w:rPr>
      </w:pPr>
      <w:r w:rsidRPr="00AC0E16">
        <w:rPr>
          <w:rFonts w:ascii="Times New Roman" w:hAnsi="Times New Roman"/>
          <w:sz w:val="22"/>
          <w:lang w:val="en-GB"/>
        </w:rPr>
        <w:t>(b)</w:t>
      </w:r>
      <w:r w:rsidR="00E93A21" w:rsidRPr="00AC0E16">
        <w:rPr>
          <w:rFonts w:ascii="Times New Roman" w:hAnsi="Times New Roman"/>
          <w:sz w:val="22"/>
          <w:lang w:val="en-GB"/>
        </w:rPr>
        <w:tab/>
      </w:r>
      <w:r w:rsidR="00740F25" w:rsidRPr="00AC0E16">
        <w:rPr>
          <w:rFonts w:ascii="Times New Roman" w:hAnsi="Times New Roman"/>
          <w:sz w:val="22"/>
          <w:lang w:val="en-GB"/>
        </w:rPr>
        <w:t xml:space="preserve">or </w:t>
      </w:r>
      <w:r w:rsidRPr="00AC0E16">
        <w:rPr>
          <w:rFonts w:ascii="Times New Roman" w:hAnsi="Times New Roman"/>
          <w:sz w:val="22"/>
          <w:lang w:val="en-GB"/>
        </w:rPr>
        <w:t xml:space="preserve">by hand-delivery to the premises of the </w:t>
      </w:r>
      <w:r w:rsidR="006E4A76" w:rsidRPr="00AC0E16">
        <w:rPr>
          <w:rFonts w:ascii="Times New Roman" w:hAnsi="Times New Roman"/>
          <w:sz w:val="22"/>
          <w:lang w:val="en-GB"/>
        </w:rPr>
        <w:t>contracting authority</w:t>
      </w:r>
      <w:r w:rsidRPr="00AC0E16">
        <w:rPr>
          <w:rFonts w:ascii="Times New Roman" w:hAnsi="Times New Roman"/>
          <w:sz w:val="22"/>
          <w:lang w:val="en-GB"/>
        </w:rPr>
        <w:t xml:space="preserve"> by the participant in person or by an agent, in which case the evidence shall be constituted by </w:t>
      </w:r>
      <w:r w:rsidR="006E4A76" w:rsidRPr="00AC0E16">
        <w:rPr>
          <w:rFonts w:ascii="Times New Roman" w:hAnsi="Times New Roman"/>
          <w:sz w:val="22"/>
          <w:lang w:val="en-GB"/>
        </w:rPr>
        <w:t xml:space="preserve">the </w:t>
      </w:r>
      <w:r w:rsidRPr="00AC0E16">
        <w:rPr>
          <w:rFonts w:ascii="Times New Roman" w:hAnsi="Times New Roman"/>
          <w:sz w:val="22"/>
          <w:lang w:val="en-GB"/>
        </w:rPr>
        <w:t>acknowledgment of receipt.</w:t>
      </w:r>
    </w:p>
    <w:p w:rsidR="008B2A9C" w:rsidRPr="00AC0E16" w:rsidRDefault="008B2A9C" w:rsidP="009956B4">
      <w:pPr>
        <w:pStyle w:val="Heading2"/>
        <w:keepNext w:val="0"/>
        <w:ind w:left="567"/>
        <w:jc w:val="both"/>
        <w:rPr>
          <w:rFonts w:ascii="Times New Roman" w:hAnsi="Times New Roman"/>
          <w:sz w:val="22"/>
          <w:lang w:val="en-IE"/>
        </w:rPr>
      </w:pPr>
      <w:r w:rsidRPr="00AC0E16">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procedureor jeopardise decisions already taken and notified.</w:t>
      </w:r>
    </w:p>
    <w:p w:rsidR="0047783A" w:rsidRPr="00AC0E16" w:rsidRDefault="0047783A" w:rsidP="009956B4">
      <w:pPr>
        <w:pStyle w:val="Heading2"/>
        <w:keepNext w:val="0"/>
        <w:ind w:left="567" w:hanging="567"/>
        <w:jc w:val="both"/>
        <w:rPr>
          <w:rFonts w:ascii="Times New Roman" w:hAnsi="Times New Roman"/>
          <w:sz w:val="22"/>
          <w:lang w:val="en-IE"/>
        </w:rPr>
      </w:pPr>
      <w:r w:rsidRPr="00AC0E16">
        <w:rPr>
          <w:rFonts w:ascii="Times New Roman" w:hAnsi="Times New Roman"/>
          <w:sz w:val="22"/>
          <w:lang w:val="en-GB"/>
        </w:rPr>
        <w:t>10.</w:t>
      </w:r>
      <w:r w:rsidR="00F953EB" w:rsidRPr="00AC0E16">
        <w:rPr>
          <w:rFonts w:ascii="Times New Roman" w:hAnsi="Times New Roman"/>
          <w:sz w:val="22"/>
          <w:lang w:val="en-GB"/>
        </w:rPr>
        <w:t>4</w:t>
      </w:r>
      <w:r w:rsidRPr="00AC0E16">
        <w:rPr>
          <w:rFonts w:ascii="Times New Roman" w:hAnsi="Times New Roman"/>
          <w:sz w:val="22"/>
          <w:lang w:val="en-GB"/>
        </w:rPr>
        <w:tab/>
        <w:t>All tenders, including annexes and all supporting documents, must be submitted in a sealed envelope bearing only:</w:t>
      </w:r>
    </w:p>
    <w:p w:rsidR="0047783A" w:rsidRPr="00AC0E16" w:rsidRDefault="0047783A" w:rsidP="00D45256">
      <w:pPr>
        <w:pStyle w:val="Heading2"/>
        <w:keepNext w:val="0"/>
        <w:ind w:left="1134" w:hanging="283"/>
        <w:jc w:val="both"/>
        <w:rPr>
          <w:rFonts w:ascii="Times New Roman" w:hAnsi="Times New Roman"/>
          <w:sz w:val="22"/>
          <w:lang w:val="en-IE"/>
        </w:rPr>
      </w:pPr>
      <w:r w:rsidRPr="00AC0E16">
        <w:rPr>
          <w:rFonts w:ascii="Times New Roman" w:hAnsi="Times New Roman"/>
          <w:sz w:val="22"/>
          <w:lang w:val="en-GB"/>
        </w:rPr>
        <w:t>a)</w:t>
      </w:r>
      <w:r w:rsidRPr="00AC0E16">
        <w:rPr>
          <w:rFonts w:ascii="Times New Roman" w:hAnsi="Times New Roman"/>
          <w:sz w:val="22"/>
          <w:lang w:val="en-GB"/>
        </w:rPr>
        <w:tab/>
        <w:t>the above address;</w:t>
      </w:r>
    </w:p>
    <w:p w:rsidR="0047783A" w:rsidRPr="00AC0E16" w:rsidRDefault="0047783A" w:rsidP="00D45256">
      <w:pPr>
        <w:pStyle w:val="Heading2"/>
        <w:keepNext w:val="0"/>
        <w:ind w:left="1134" w:hanging="283"/>
        <w:jc w:val="both"/>
        <w:rPr>
          <w:rFonts w:ascii="Times New Roman" w:hAnsi="Times New Roman"/>
          <w:sz w:val="22"/>
          <w:lang w:val="en-IE"/>
        </w:rPr>
      </w:pPr>
      <w:r w:rsidRPr="00AC0E16">
        <w:rPr>
          <w:rFonts w:ascii="Times New Roman" w:hAnsi="Times New Roman"/>
          <w:sz w:val="22"/>
          <w:lang w:val="en-GB"/>
        </w:rPr>
        <w:t>b)</w:t>
      </w:r>
      <w:r w:rsidRPr="00AC0E16">
        <w:rPr>
          <w:rFonts w:ascii="Times New Roman" w:hAnsi="Times New Roman"/>
          <w:sz w:val="22"/>
          <w:lang w:val="en-GB"/>
        </w:rPr>
        <w:tab/>
        <w:t>the reference code of this tender procedure, (i.e.&lt;publication reference&gt;);</w:t>
      </w:r>
    </w:p>
    <w:p w:rsidR="0047783A" w:rsidRPr="00AC0E16" w:rsidRDefault="0047783A" w:rsidP="00D45256">
      <w:pPr>
        <w:pStyle w:val="Heading2"/>
        <w:keepNext w:val="0"/>
        <w:ind w:left="1134" w:hanging="283"/>
        <w:jc w:val="both"/>
        <w:rPr>
          <w:rFonts w:ascii="Times New Roman" w:hAnsi="Times New Roman"/>
          <w:sz w:val="22"/>
          <w:lang w:val="en-IE"/>
        </w:rPr>
      </w:pPr>
      <w:r w:rsidRPr="00AC0E16">
        <w:rPr>
          <w:rFonts w:ascii="Times New Roman" w:hAnsi="Times New Roman"/>
          <w:sz w:val="22"/>
          <w:lang w:val="en-GB"/>
        </w:rPr>
        <w:t>c)</w:t>
      </w:r>
      <w:r w:rsidRPr="00AC0E16">
        <w:rPr>
          <w:rFonts w:ascii="Times New Roman" w:hAnsi="Times New Roman"/>
          <w:sz w:val="22"/>
          <w:lang w:val="en-GB"/>
        </w:rPr>
        <w:tab/>
        <w:t>where applicable, the number of the lot(s) tendered for;</w:t>
      </w:r>
    </w:p>
    <w:p w:rsidR="0047783A" w:rsidRPr="009956B4" w:rsidRDefault="0047783A" w:rsidP="00D45256">
      <w:pPr>
        <w:pStyle w:val="Heading2"/>
        <w:keepNext w:val="0"/>
        <w:ind w:left="1134" w:hanging="283"/>
        <w:jc w:val="both"/>
        <w:rPr>
          <w:rFonts w:ascii="Times New Roman" w:hAnsi="Times New Roman"/>
          <w:sz w:val="22"/>
          <w:lang w:val="en-IE"/>
        </w:rPr>
      </w:pPr>
      <w:r w:rsidRPr="00AC0E16">
        <w:rPr>
          <w:rFonts w:ascii="Times New Roman" w:hAnsi="Times New Roman"/>
          <w:sz w:val="22"/>
          <w:lang w:val="en-GB"/>
        </w:rPr>
        <w:t>d)</w:t>
      </w:r>
      <w:r w:rsidRPr="00AC0E16">
        <w:rPr>
          <w:rFonts w:ascii="Times New Roman" w:hAnsi="Times New Roman"/>
          <w:sz w:val="22"/>
          <w:lang w:val="en-GB"/>
        </w:rPr>
        <w:tab/>
        <w:t xml:space="preserve">the words </w:t>
      </w:r>
      <w:r w:rsidR="006A5F84" w:rsidRPr="00AC0E16">
        <w:rPr>
          <w:rFonts w:ascii="Times New Roman" w:hAnsi="Times New Roman"/>
          <w:sz w:val="22"/>
          <w:lang w:val="en-GB"/>
        </w:rPr>
        <w:t>‘</w:t>
      </w:r>
      <w:r w:rsidRPr="00AC0E16">
        <w:rPr>
          <w:rFonts w:ascii="Times New Roman" w:hAnsi="Times New Roman"/>
          <w:sz w:val="22"/>
          <w:lang w:val="en-GB"/>
        </w:rPr>
        <w:t>Not to be opened before the tender opening session</w:t>
      </w:r>
      <w:r w:rsidR="006A5F84" w:rsidRPr="00AC0E16">
        <w:rPr>
          <w:rFonts w:ascii="Times New Roman" w:hAnsi="Times New Roman"/>
          <w:sz w:val="22"/>
          <w:lang w:val="en-GB"/>
        </w:rPr>
        <w:t>’</w:t>
      </w:r>
      <w:r w:rsidRPr="00AC0E16">
        <w:rPr>
          <w:rFonts w:ascii="Times New Roman" w:hAnsi="Times New Roman"/>
          <w:sz w:val="22"/>
          <w:lang w:val="en-GB"/>
        </w:rPr>
        <w:t xml:space="preserve"> in the language of the tender dossier and</w:t>
      </w:r>
      <w:r w:rsidR="00AC0E16" w:rsidRPr="00B1444C">
        <w:rPr>
          <w:rFonts w:ascii="Times New Roman" w:hAnsi="Times New Roman"/>
          <w:sz w:val="22"/>
          <w:szCs w:val="22"/>
        </w:rPr>
        <w:t>“</w:t>
      </w:r>
      <w:r w:rsidR="00AC0E16" w:rsidRPr="00B1444C">
        <w:rPr>
          <w:rFonts w:ascii="Times New Roman" w:hAnsi="Times New Roman"/>
          <w:sz w:val="22"/>
          <w:szCs w:val="22"/>
          <w:lang w:val="mk-MK"/>
        </w:rPr>
        <w:t>Да не се отвара пред официјалното отворање на понудите</w:t>
      </w:r>
      <w:r w:rsidR="00AC0E16" w:rsidRPr="00B1444C">
        <w:rPr>
          <w:rFonts w:ascii="Times New Roman" w:hAnsi="Times New Roman"/>
          <w:sz w:val="22"/>
          <w:szCs w:val="22"/>
          <w:lang w:val="en-US"/>
        </w:rPr>
        <w:t>”</w:t>
      </w:r>
      <w:r w:rsidRPr="00AC0E16">
        <w:rPr>
          <w:rFonts w:ascii="Times New Roman" w:hAnsi="Times New Roman"/>
          <w:sz w:val="22"/>
          <w:lang w:val="en-IE"/>
        </w:rPr>
        <w:t>.</w:t>
      </w:r>
    </w:p>
    <w:p w:rsidR="0047783A" w:rsidRPr="00AC0E16" w:rsidRDefault="0047783A" w:rsidP="00D45256">
      <w:pPr>
        <w:pStyle w:val="Heading2"/>
        <w:keepNext w:val="0"/>
        <w:ind w:left="1134" w:hanging="283"/>
        <w:jc w:val="both"/>
        <w:rPr>
          <w:rFonts w:ascii="Times New Roman" w:hAnsi="Times New Roman"/>
          <w:sz w:val="22"/>
          <w:lang w:val="en-IE"/>
        </w:rPr>
      </w:pPr>
      <w:r w:rsidRPr="00AC0E16">
        <w:rPr>
          <w:rFonts w:ascii="Times New Roman" w:hAnsi="Times New Roman"/>
          <w:sz w:val="22"/>
          <w:lang w:val="en-GB"/>
        </w:rPr>
        <w:t>e)</w:t>
      </w:r>
      <w:r w:rsidRPr="00AC0E16">
        <w:rPr>
          <w:rFonts w:ascii="Times New Roman" w:hAnsi="Times New Roman"/>
          <w:sz w:val="22"/>
          <w:lang w:val="en-GB"/>
        </w:rPr>
        <w:tab/>
        <w:t>the name of the tenderer.</w:t>
      </w:r>
    </w:p>
    <w:p w:rsidR="0047783A" w:rsidRPr="005C124C" w:rsidRDefault="0047783A" w:rsidP="009956B4">
      <w:pPr>
        <w:pStyle w:val="Heading2"/>
        <w:keepNext w:val="0"/>
        <w:ind w:left="567"/>
        <w:jc w:val="both"/>
        <w:rPr>
          <w:rFonts w:ascii="Times New Roman" w:hAnsi="Times New Roman"/>
          <w:sz w:val="22"/>
          <w:lang w:val="en-GB"/>
        </w:rPr>
      </w:pPr>
      <w:bookmarkStart w:id="18" w:name="_Hlk168671040"/>
      <w:r w:rsidRPr="00AC0E16">
        <w:rPr>
          <w:rFonts w:ascii="Times New Roman" w:hAnsi="Times New Roman"/>
          <w:sz w:val="22"/>
          <w:lang w:val="en-GB"/>
        </w:rPr>
        <w:t xml:space="preserve">The technical and financial offers must be placed together in a sealed envelope. The envelope </w:t>
      </w:r>
      <w:r w:rsidRPr="005C124C">
        <w:rPr>
          <w:rFonts w:ascii="Times New Roman" w:hAnsi="Times New Roman"/>
          <w:sz w:val="22"/>
          <w:lang w:val="en-GB"/>
        </w:rPr>
        <w:t>should then be placed in another single sealed envelope/package, unless their volume requires a separate submission for each lot.</w:t>
      </w:r>
    </w:p>
    <w:bookmarkEnd w:id="18"/>
    <w:p w:rsidR="00EC67B1" w:rsidRPr="005C124C" w:rsidRDefault="00EC67B1" w:rsidP="00D45256">
      <w:pPr>
        <w:spacing w:before="0"/>
        <w:ind w:left="567"/>
        <w:jc w:val="both"/>
        <w:rPr>
          <w:rFonts w:ascii="Times New Roman" w:hAnsi="Times New Roman"/>
          <w:sz w:val="22"/>
        </w:rPr>
      </w:pPr>
    </w:p>
    <w:p w:rsidR="0047783A" w:rsidRPr="005C124C" w:rsidRDefault="00A633C6" w:rsidP="00D45256">
      <w:pPr>
        <w:pStyle w:val="Heading1"/>
        <w:rPr>
          <w:lang w:val="en-IE"/>
        </w:rPr>
      </w:pPr>
      <w:bookmarkStart w:id="19" w:name="_Toc42488080"/>
      <w:r w:rsidRPr="005C124C">
        <w:rPr>
          <w:lang w:val="en-IE"/>
        </w:rPr>
        <w:t>11.</w:t>
      </w:r>
      <w:r w:rsidR="005A3D33" w:rsidRPr="005C124C">
        <w:rPr>
          <w:lang w:val="en-IE"/>
        </w:rPr>
        <w:tab/>
      </w:r>
      <w:r w:rsidR="0047783A" w:rsidRPr="005C124C">
        <w:rPr>
          <w:lang w:val="en-IE"/>
        </w:rPr>
        <w:t>Content of tenders</w:t>
      </w:r>
      <w:bookmarkEnd w:id="19"/>
    </w:p>
    <w:p w:rsidR="00732AAE" w:rsidRPr="005C124C" w:rsidRDefault="00732AAE" w:rsidP="00D45256">
      <w:pPr>
        <w:pStyle w:val="Text1"/>
        <w:ind w:left="567"/>
        <w:rPr>
          <w:bCs/>
          <w:sz w:val="22"/>
        </w:rPr>
      </w:pPr>
      <w:r w:rsidRPr="005C124C">
        <w:rPr>
          <w:bCs/>
          <w:sz w:val="22"/>
        </w:rPr>
        <w:t xml:space="preserve">The tender must include a technical offer and a financial offer, </w:t>
      </w:r>
      <w:r w:rsidR="00AD0140" w:rsidRPr="005C124C">
        <w:rPr>
          <w:bCs/>
          <w:sz w:val="22"/>
        </w:rPr>
        <w:t>which must be submitted in separate envelopes</w:t>
      </w:r>
      <w:r w:rsidR="00144A7D" w:rsidRPr="005C124C">
        <w:rPr>
          <w:sz w:val="22"/>
        </w:rPr>
        <w:t>either by post or by hand-delivery</w:t>
      </w:r>
      <w:r w:rsidR="00144A7D" w:rsidRPr="005C124C">
        <w:rPr>
          <w:bCs/>
          <w:sz w:val="22"/>
        </w:rPr>
        <w:t>.</w:t>
      </w:r>
    </w:p>
    <w:p w:rsidR="0047783A" w:rsidRPr="005C124C" w:rsidRDefault="006D4CEC" w:rsidP="0047783A">
      <w:pPr>
        <w:spacing w:after="0"/>
        <w:ind w:left="567"/>
        <w:jc w:val="both"/>
        <w:outlineLvl w:val="0"/>
        <w:rPr>
          <w:rFonts w:ascii="Times New Roman" w:hAnsi="Times New Roman"/>
          <w:sz w:val="22"/>
          <w:szCs w:val="22"/>
        </w:rPr>
      </w:pPr>
      <w:r w:rsidRPr="005C124C">
        <w:rPr>
          <w:rFonts w:ascii="Times New Roman" w:hAnsi="Times New Roman"/>
          <w:sz w:val="22"/>
          <w:szCs w:val="22"/>
        </w:rPr>
        <w:t xml:space="preserve">Failure to fulfil the below requirements will constitute an irregularity and may result in rejection of the tender. </w:t>
      </w:r>
      <w:r w:rsidR="0047783A" w:rsidRPr="005C124C">
        <w:rPr>
          <w:rFonts w:ascii="Times New Roman" w:hAnsi="Times New Roman"/>
          <w:sz w:val="22"/>
          <w:szCs w:val="22"/>
        </w:rPr>
        <w:t>All tenders submitted must comply with the requirements in the tender dossier and comprise:</w:t>
      </w:r>
    </w:p>
    <w:p w:rsidR="0047783A" w:rsidRPr="005C124C" w:rsidRDefault="0047783A" w:rsidP="00C348C0">
      <w:pPr>
        <w:keepNext/>
        <w:keepLines/>
        <w:ind w:left="567"/>
        <w:jc w:val="both"/>
        <w:outlineLvl w:val="0"/>
        <w:rPr>
          <w:rFonts w:ascii="Times New Roman" w:hAnsi="Times New Roman"/>
          <w:b/>
          <w:sz w:val="22"/>
          <w:szCs w:val="22"/>
        </w:rPr>
      </w:pPr>
      <w:r w:rsidRPr="005C124C">
        <w:rPr>
          <w:rFonts w:ascii="Times New Roman" w:hAnsi="Times New Roman"/>
          <w:b/>
          <w:sz w:val="22"/>
          <w:szCs w:val="22"/>
        </w:rPr>
        <w:t>Part 1: Technical offer:</w:t>
      </w:r>
    </w:p>
    <w:p w:rsidR="0047783A" w:rsidRPr="000B614E" w:rsidRDefault="0047783A" w:rsidP="000B614E">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5C124C">
        <w:rPr>
          <w:rFonts w:ascii="Times New Roman" w:hAnsi="Times New Roman"/>
          <w:sz w:val="22"/>
          <w:szCs w:val="22"/>
          <w:lang w:val="en-GB"/>
        </w:rPr>
        <w:t>a detailed description of the supplies tendered in conformity with the technical specifications, including any documentation required</w:t>
      </w:r>
    </w:p>
    <w:p w:rsidR="0047783A" w:rsidRPr="005C124C" w:rsidRDefault="0047783A" w:rsidP="0047783A">
      <w:pPr>
        <w:ind w:left="567"/>
        <w:rPr>
          <w:rFonts w:ascii="Times New Roman" w:hAnsi="Times New Roman"/>
          <w:sz w:val="22"/>
          <w:szCs w:val="22"/>
        </w:rPr>
      </w:pPr>
      <w:r w:rsidRPr="005C124C">
        <w:rPr>
          <w:rFonts w:ascii="Times New Roman" w:hAnsi="Times New Roman"/>
          <w:sz w:val="22"/>
          <w:szCs w:val="22"/>
        </w:rPr>
        <w:t>The technical offer should be presented as per template (</w:t>
      </w:r>
      <w:r w:rsidR="000665DF" w:rsidRPr="005C124C">
        <w:rPr>
          <w:rFonts w:ascii="Times New Roman" w:hAnsi="Times New Roman"/>
          <w:sz w:val="22"/>
          <w:szCs w:val="22"/>
        </w:rPr>
        <w:t>A</w:t>
      </w:r>
      <w:r w:rsidRPr="005C124C">
        <w:rPr>
          <w:rFonts w:ascii="Times New Roman" w:hAnsi="Times New Roman"/>
          <w:sz w:val="22"/>
          <w:szCs w:val="22"/>
        </w:rPr>
        <w:t xml:space="preserve">nnex II+III*, </w:t>
      </w:r>
      <w:r w:rsidR="000665DF" w:rsidRPr="005C124C">
        <w:rPr>
          <w:rFonts w:ascii="Times New Roman" w:hAnsi="Times New Roman"/>
          <w:sz w:val="22"/>
          <w:szCs w:val="22"/>
        </w:rPr>
        <w:t>C</w:t>
      </w:r>
      <w:r w:rsidRPr="005C124C">
        <w:rPr>
          <w:rFonts w:ascii="Times New Roman" w:hAnsi="Times New Roman"/>
          <w:sz w:val="22"/>
          <w:szCs w:val="22"/>
        </w:rPr>
        <w:t xml:space="preserve">ontractor’s technical offer) </w:t>
      </w:r>
      <w:r w:rsidR="000665DF" w:rsidRPr="005C124C">
        <w:rPr>
          <w:rFonts w:ascii="Times New Roman" w:hAnsi="Times New Roman"/>
          <w:sz w:val="22"/>
          <w:szCs w:val="22"/>
        </w:rPr>
        <w:t>adding</w:t>
      </w:r>
      <w:r w:rsidRPr="005C124C">
        <w:rPr>
          <w:rFonts w:ascii="Times New Roman" w:hAnsi="Times New Roman"/>
          <w:sz w:val="22"/>
          <w:szCs w:val="22"/>
        </w:rPr>
        <w:t xml:space="preserve"> separate sheets for details</w:t>
      </w:r>
      <w:r w:rsidR="000665DF" w:rsidRPr="005C124C">
        <w:rPr>
          <w:rFonts w:ascii="Times New Roman" w:hAnsi="Times New Roman"/>
          <w:sz w:val="22"/>
          <w:szCs w:val="22"/>
        </w:rPr>
        <w:t xml:space="preserve"> if necessary</w:t>
      </w:r>
      <w:r w:rsidRPr="005C124C">
        <w:rPr>
          <w:rFonts w:ascii="Times New Roman" w:hAnsi="Times New Roman"/>
          <w:sz w:val="22"/>
          <w:szCs w:val="22"/>
        </w:rPr>
        <w:t>.</w:t>
      </w:r>
    </w:p>
    <w:p w:rsidR="0047783A" w:rsidRPr="005C124C" w:rsidRDefault="0047783A" w:rsidP="0047783A">
      <w:pPr>
        <w:ind w:left="567"/>
        <w:jc w:val="both"/>
        <w:outlineLvl w:val="0"/>
        <w:rPr>
          <w:rFonts w:ascii="Times New Roman" w:hAnsi="Times New Roman"/>
          <w:b/>
          <w:sz w:val="22"/>
          <w:szCs w:val="22"/>
        </w:rPr>
      </w:pPr>
      <w:r w:rsidRPr="005C124C">
        <w:rPr>
          <w:rFonts w:ascii="Times New Roman" w:hAnsi="Times New Roman"/>
          <w:b/>
          <w:sz w:val="22"/>
          <w:szCs w:val="22"/>
        </w:rPr>
        <w:t>Part 2: Financial offer:</w:t>
      </w:r>
    </w:p>
    <w:p w:rsidR="005F7DC0" w:rsidRPr="000B614E" w:rsidRDefault="0047783A" w:rsidP="000B614E">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5C124C">
        <w:rPr>
          <w:rFonts w:ascii="Times New Roman" w:hAnsi="Times New Roman"/>
          <w:sz w:val="22"/>
          <w:szCs w:val="22"/>
          <w:lang w:val="en-GB"/>
        </w:rPr>
        <w:lastRenderedPageBreak/>
        <w:t xml:space="preserve">A financial offer calculated on a </w:t>
      </w:r>
      <w:r w:rsidR="004365AD" w:rsidRPr="005C124C">
        <w:rPr>
          <w:rFonts w:ascii="Times New Roman" w:hAnsi="Times New Roman"/>
          <w:sz w:val="22"/>
          <w:szCs w:val="22"/>
          <w:lang w:val="en-GB"/>
        </w:rPr>
        <w:t>DAP</w:t>
      </w:r>
      <w:r w:rsidRPr="005C124C">
        <w:rPr>
          <w:rStyle w:val="FootnoteReference"/>
          <w:rFonts w:ascii="Times New Roman" w:hAnsi="Times New Roman"/>
        </w:rPr>
        <w:footnoteReference w:id="6"/>
      </w:r>
      <w:r w:rsidR="000665DF" w:rsidRPr="005C124C">
        <w:rPr>
          <w:rFonts w:ascii="Times New Roman" w:hAnsi="Times New Roman"/>
          <w:sz w:val="22"/>
          <w:szCs w:val="22"/>
          <w:lang w:val="en-GB"/>
        </w:rPr>
        <w:t xml:space="preserve">basis </w:t>
      </w:r>
      <w:r w:rsidRPr="005C124C">
        <w:rPr>
          <w:rFonts w:ascii="Times New Roman" w:hAnsi="Times New Roman"/>
          <w:sz w:val="22"/>
          <w:szCs w:val="22"/>
          <w:lang w:val="en-GB"/>
        </w:rPr>
        <w:t>for the supplies tendered</w:t>
      </w:r>
      <w:r w:rsidR="000B614E">
        <w:rPr>
          <w:rFonts w:ascii="Times New Roman" w:hAnsi="Times New Roman"/>
          <w:sz w:val="22"/>
          <w:szCs w:val="22"/>
          <w:lang w:val="en-GB"/>
        </w:rPr>
        <w:t>.</w:t>
      </w:r>
    </w:p>
    <w:p w:rsidR="0047783A" w:rsidRPr="005C124C" w:rsidRDefault="0047783A" w:rsidP="00D45256">
      <w:pPr>
        <w:ind w:left="567"/>
        <w:jc w:val="both"/>
        <w:rPr>
          <w:rFonts w:ascii="Times New Roman" w:hAnsi="Times New Roman"/>
          <w:sz w:val="22"/>
          <w:szCs w:val="22"/>
        </w:rPr>
      </w:pPr>
      <w:r w:rsidRPr="005C124C">
        <w:rPr>
          <w:rFonts w:ascii="Times New Roman" w:hAnsi="Times New Roman"/>
          <w:sz w:val="22"/>
          <w:szCs w:val="22"/>
        </w:rPr>
        <w:t>This financial offer should be presented as per template (</w:t>
      </w:r>
      <w:r w:rsidR="000665DF" w:rsidRPr="005C124C">
        <w:rPr>
          <w:rFonts w:ascii="Times New Roman" w:hAnsi="Times New Roman"/>
          <w:sz w:val="22"/>
          <w:szCs w:val="22"/>
        </w:rPr>
        <w:t>A</w:t>
      </w:r>
      <w:r w:rsidRPr="005C124C">
        <w:rPr>
          <w:rFonts w:ascii="Times New Roman" w:hAnsi="Times New Roman"/>
          <w:sz w:val="22"/>
          <w:szCs w:val="22"/>
        </w:rPr>
        <w:t xml:space="preserve">nnex IV*, </w:t>
      </w:r>
      <w:r w:rsidR="000665DF" w:rsidRPr="005C124C">
        <w:rPr>
          <w:rFonts w:ascii="Times New Roman" w:hAnsi="Times New Roman"/>
          <w:sz w:val="22"/>
          <w:szCs w:val="22"/>
        </w:rPr>
        <w:t>B</w:t>
      </w:r>
      <w:r w:rsidRPr="005C124C">
        <w:rPr>
          <w:rFonts w:ascii="Times New Roman" w:hAnsi="Times New Roman"/>
          <w:sz w:val="22"/>
          <w:szCs w:val="22"/>
        </w:rPr>
        <w:t>udget breakdown),</w:t>
      </w:r>
      <w:r w:rsidR="000665DF" w:rsidRPr="005C124C">
        <w:rPr>
          <w:rFonts w:ascii="Times New Roman" w:hAnsi="Times New Roman"/>
          <w:sz w:val="22"/>
          <w:szCs w:val="22"/>
        </w:rPr>
        <w:t xml:space="preserve"> adding </w:t>
      </w:r>
      <w:r w:rsidRPr="005C124C">
        <w:rPr>
          <w:rFonts w:ascii="Times New Roman" w:hAnsi="Times New Roman"/>
          <w:sz w:val="22"/>
          <w:szCs w:val="22"/>
        </w:rPr>
        <w:t>separate sheets for details</w:t>
      </w:r>
      <w:r w:rsidR="000665DF" w:rsidRPr="005C124C">
        <w:rPr>
          <w:rFonts w:ascii="Times New Roman" w:hAnsi="Times New Roman"/>
          <w:sz w:val="22"/>
          <w:szCs w:val="22"/>
        </w:rPr>
        <w:t xml:space="preserve"> if necessary</w:t>
      </w:r>
      <w:r w:rsidRPr="005C124C">
        <w:rPr>
          <w:rFonts w:ascii="Times New Roman" w:hAnsi="Times New Roman"/>
          <w:sz w:val="22"/>
          <w:szCs w:val="22"/>
        </w:rPr>
        <w:t>.</w:t>
      </w:r>
      <w:r w:rsidR="00180444" w:rsidRPr="005C124C">
        <w:rPr>
          <w:rFonts w:ascii="Times New Roman" w:hAnsi="Times New Roman"/>
          <w:sz w:val="22"/>
          <w:szCs w:val="22"/>
          <w:lang w:val="en-IE"/>
        </w:rPr>
        <w:t>All amounts are to be quoted excluding taxes. VAT, if applicable, is to be mentioned separately.</w:t>
      </w:r>
    </w:p>
    <w:p w:rsidR="00D85561" w:rsidRPr="005C124C"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5C124C">
        <w:rPr>
          <w:sz w:val="22"/>
        </w:rPr>
        <w:t>In case of doubt about the applicable VAT system, it is the tenderer's responsibility to contact his or her national authorities to clarify the way in which the European Union is exempt from VAT.</w:t>
      </w:r>
    </w:p>
    <w:p w:rsidR="00D85561" w:rsidRPr="005C124C" w:rsidRDefault="00D85561" w:rsidP="0047783A">
      <w:pPr>
        <w:spacing w:after="0"/>
        <w:ind w:left="567"/>
        <w:rPr>
          <w:rFonts w:ascii="Times New Roman" w:hAnsi="Times New Roman"/>
          <w:sz w:val="22"/>
          <w:szCs w:val="22"/>
        </w:rPr>
      </w:pPr>
    </w:p>
    <w:p w:rsidR="0047783A" w:rsidRPr="005C124C" w:rsidRDefault="0047783A" w:rsidP="00C348C0">
      <w:pPr>
        <w:keepNext/>
        <w:keepLines/>
        <w:spacing w:after="0"/>
        <w:ind w:left="567"/>
        <w:rPr>
          <w:rFonts w:ascii="Times New Roman" w:hAnsi="Times New Roman"/>
          <w:b/>
          <w:sz w:val="22"/>
          <w:szCs w:val="22"/>
        </w:rPr>
      </w:pPr>
      <w:r w:rsidRPr="005C124C">
        <w:rPr>
          <w:rFonts w:ascii="Times New Roman" w:hAnsi="Times New Roman"/>
          <w:b/>
          <w:sz w:val="22"/>
          <w:szCs w:val="22"/>
        </w:rPr>
        <w:t>Part 3: Documentation:</w:t>
      </w:r>
    </w:p>
    <w:p w:rsidR="0047783A" w:rsidRPr="005C124C" w:rsidRDefault="0047783A" w:rsidP="00C348C0">
      <w:pPr>
        <w:keepNext/>
        <w:keepLines/>
        <w:tabs>
          <w:tab w:val="left" w:pos="993"/>
        </w:tabs>
        <w:spacing w:after="0"/>
        <w:ind w:left="567"/>
        <w:rPr>
          <w:rFonts w:ascii="Times New Roman" w:hAnsi="Times New Roman"/>
          <w:sz w:val="22"/>
          <w:szCs w:val="22"/>
        </w:rPr>
      </w:pPr>
      <w:r w:rsidRPr="005C124C">
        <w:rPr>
          <w:rFonts w:ascii="Times New Roman" w:hAnsi="Times New Roman"/>
          <w:sz w:val="22"/>
          <w:szCs w:val="22"/>
        </w:rPr>
        <w:t xml:space="preserve">To be supplied </w:t>
      </w:r>
      <w:r w:rsidR="002D0CE1" w:rsidRPr="005C124C">
        <w:rPr>
          <w:rFonts w:ascii="Times New Roman" w:hAnsi="Times New Roman"/>
          <w:sz w:val="22"/>
          <w:szCs w:val="22"/>
        </w:rPr>
        <w:t xml:space="preserve">using the </w:t>
      </w:r>
      <w:r w:rsidRPr="005C124C">
        <w:rPr>
          <w:rFonts w:ascii="Times New Roman" w:hAnsi="Times New Roman"/>
          <w:sz w:val="22"/>
          <w:szCs w:val="22"/>
        </w:rPr>
        <w:t xml:space="preserve">templates </w:t>
      </w:r>
      <w:r w:rsidR="002D0CE1" w:rsidRPr="005C124C">
        <w:rPr>
          <w:rFonts w:ascii="Times New Roman" w:hAnsi="Times New Roman"/>
          <w:sz w:val="22"/>
          <w:szCs w:val="22"/>
        </w:rPr>
        <w:t>attached</w:t>
      </w:r>
      <w:r w:rsidRPr="005C124C">
        <w:rPr>
          <w:rFonts w:ascii="Times New Roman" w:hAnsi="Times New Roman"/>
          <w:sz w:val="22"/>
          <w:szCs w:val="22"/>
        </w:rPr>
        <w:t>*:</w:t>
      </w:r>
    </w:p>
    <w:p w:rsidR="00482933" w:rsidRPr="005C124C" w:rsidRDefault="0047783A" w:rsidP="00D45256">
      <w:pPr>
        <w:pStyle w:val="Text1"/>
        <w:numPr>
          <w:ilvl w:val="0"/>
          <w:numId w:val="36"/>
        </w:numPr>
        <w:ind w:left="1134" w:hanging="425"/>
        <w:rPr>
          <w:sz w:val="22"/>
        </w:rPr>
      </w:pPr>
      <w:r w:rsidRPr="005C124C">
        <w:rPr>
          <w:sz w:val="22"/>
        </w:rPr>
        <w:t xml:space="preserve">The </w:t>
      </w:r>
      <w:r w:rsidR="0002493B" w:rsidRPr="005C124C">
        <w:rPr>
          <w:sz w:val="22"/>
        </w:rPr>
        <w:t>"</w:t>
      </w:r>
      <w:r w:rsidRPr="005C124C">
        <w:rPr>
          <w:sz w:val="22"/>
        </w:rPr>
        <w:t xml:space="preserve">Tender </w:t>
      </w:r>
      <w:r w:rsidR="005C1201" w:rsidRPr="005C124C">
        <w:rPr>
          <w:sz w:val="22"/>
        </w:rPr>
        <w:t>f</w:t>
      </w:r>
      <w:r w:rsidRPr="005C124C">
        <w:rPr>
          <w:sz w:val="22"/>
        </w:rPr>
        <w:t xml:space="preserve">orm for a </w:t>
      </w:r>
      <w:r w:rsidR="005C1201" w:rsidRPr="005C124C">
        <w:rPr>
          <w:sz w:val="22"/>
        </w:rPr>
        <w:t>s</w:t>
      </w:r>
      <w:r w:rsidRPr="005C124C">
        <w:rPr>
          <w:sz w:val="22"/>
        </w:rPr>
        <w:t xml:space="preserve">upply </w:t>
      </w:r>
      <w:r w:rsidR="005C1201" w:rsidRPr="005C124C">
        <w:rPr>
          <w:sz w:val="22"/>
        </w:rPr>
        <w:t>c</w:t>
      </w:r>
      <w:r w:rsidRPr="005C124C">
        <w:rPr>
          <w:sz w:val="22"/>
        </w:rPr>
        <w:t>ontract</w:t>
      </w:r>
      <w:r w:rsidR="0002493B" w:rsidRPr="005C124C">
        <w:rPr>
          <w:sz w:val="22"/>
        </w:rPr>
        <w:t>"</w:t>
      </w:r>
      <w:r w:rsidRPr="005C124C">
        <w:rPr>
          <w:sz w:val="22"/>
        </w:rPr>
        <w:t xml:space="preserve">, </w:t>
      </w:r>
      <w:r w:rsidR="007A0C47" w:rsidRPr="005C124C">
        <w:rPr>
          <w:sz w:val="22"/>
        </w:rPr>
        <w:t xml:space="preserve">together with Annex 1 </w:t>
      </w:r>
      <w:r w:rsidR="0002493B" w:rsidRPr="005C124C">
        <w:rPr>
          <w:b/>
          <w:sz w:val="22"/>
        </w:rPr>
        <w:t>"</w:t>
      </w:r>
      <w:r w:rsidR="007A0C47" w:rsidRPr="005C124C">
        <w:rPr>
          <w:b/>
          <w:sz w:val="22"/>
        </w:rPr>
        <w:t>Declaration o</w:t>
      </w:r>
      <w:r w:rsidR="0002493B" w:rsidRPr="005C124C">
        <w:rPr>
          <w:b/>
          <w:sz w:val="22"/>
        </w:rPr>
        <w:t>n</w:t>
      </w:r>
      <w:r w:rsidR="007A0C47" w:rsidRPr="005C124C">
        <w:rPr>
          <w:b/>
          <w:sz w:val="22"/>
        </w:rPr>
        <w:t xml:space="preserve"> honour on exclusion criteria and selection criteria</w:t>
      </w:r>
      <w:r w:rsidR="0002493B" w:rsidRPr="005C124C">
        <w:rPr>
          <w:b/>
          <w:sz w:val="22"/>
        </w:rPr>
        <w:t>"</w:t>
      </w:r>
      <w:r w:rsidR="007A0C47" w:rsidRPr="005C124C">
        <w:rPr>
          <w:sz w:val="22"/>
        </w:rPr>
        <w:t xml:space="preserve">, both </w:t>
      </w:r>
      <w:r w:rsidRPr="005C124C">
        <w:rPr>
          <w:sz w:val="22"/>
        </w:rPr>
        <w:t>duly completed, which includes thetenderer’s declaration, point 7, (from each member if a consortium</w:t>
      </w:r>
      <w:r w:rsidR="00224EE3" w:rsidRPr="005C124C">
        <w:rPr>
          <w:sz w:val="22"/>
        </w:rPr>
        <w:t>, (if any)</w:t>
      </w:r>
      <w:r w:rsidRPr="005C124C">
        <w:rPr>
          <w:sz w:val="22"/>
        </w:rPr>
        <w:t>)</w:t>
      </w:r>
      <w:r w:rsidR="00CC6A3F" w:rsidRPr="005C124C">
        <w:rPr>
          <w:sz w:val="22"/>
        </w:rPr>
        <w:t>.</w:t>
      </w:r>
    </w:p>
    <w:p w:rsidR="00482933" w:rsidRPr="005C124C" w:rsidRDefault="00691664" w:rsidP="00D45256">
      <w:pPr>
        <w:pStyle w:val="Text1"/>
        <w:spacing w:after="0"/>
        <w:ind w:left="1134"/>
        <w:rPr>
          <w:sz w:val="22"/>
        </w:rPr>
      </w:pPr>
      <w:r w:rsidRPr="005C124C">
        <w:rPr>
          <w:sz w:val="22"/>
        </w:rPr>
        <w:t>Signed originals of the Declaration on honour shall be submitted.</w:t>
      </w:r>
    </w:p>
    <w:p w:rsidR="0047783A" w:rsidRPr="005C124C" w:rsidRDefault="00802784" w:rsidP="00D45256">
      <w:pPr>
        <w:pStyle w:val="Text1"/>
        <w:numPr>
          <w:ilvl w:val="0"/>
          <w:numId w:val="36"/>
        </w:numPr>
        <w:ind w:left="1134" w:hanging="425"/>
        <w:rPr>
          <w:sz w:val="22"/>
        </w:rPr>
      </w:pPr>
      <w:r w:rsidRPr="005C124C">
        <w:rPr>
          <w:sz w:val="22"/>
        </w:rPr>
        <w:t>A completed</w:t>
      </w:r>
      <w:r w:rsidR="00EC0770" w:rsidRPr="005C124C">
        <w:rPr>
          <w:sz w:val="22"/>
        </w:rPr>
        <w:t>identification form</w:t>
      </w:r>
      <w:r w:rsidR="007C6835" w:rsidRPr="005C124C">
        <w:rPr>
          <w:sz w:val="22"/>
        </w:rPr>
        <w:t>(</w:t>
      </w:r>
      <w:r w:rsidRPr="005C124C">
        <w:rPr>
          <w:sz w:val="22"/>
        </w:rPr>
        <w:t>see Annex V to the draft contract</w:t>
      </w:r>
      <w:r w:rsidR="007C6835" w:rsidRPr="005C124C">
        <w:rPr>
          <w:sz w:val="22"/>
        </w:rPr>
        <w:t xml:space="preserve">) </w:t>
      </w:r>
      <w:r w:rsidR="0047783A" w:rsidRPr="005C124C">
        <w:rPr>
          <w:sz w:val="22"/>
        </w:rPr>
        <w:t>and supporting documents</w:t>
      </w:r>
      <w:r w:rsidR="00086878" w:rsidRPr="005C124C">
        <w:rPr>
          <w:sz w:val="22"/>
        </w:rPr>
        <w:t xml:space="preserve"> to the identification form</w:t>
      </w:r>
      <w:r w:rsidR="00EC0770" w:rsidRPr="005C124C">
        <w:rPr>
          <w:sz w:val="22"/>
        </w:rPr>
        <w:t>.</w:t>
      </w:r>
    </w:p>
    <w:p w:rsidR="0047783A" w:rsidRPr="005C124C" w:rsidRDefault="0047783A" w:rsidP="0047783A">
      <w:pPr>
        <w:tabs>
          <w:tab w:val="left" w:pos="993"/>
        </w:tabs>
        <w:spacing w:after="0"/>
        <w:ind w:left="567"/>
        <w:rPr>
          <w:rFonts w:ascii="Times New Roman" w:hAnsi="Times New Roman"/>
          <w:sz w:val="22"/>
          <w:szCs w:val="22"/>
        </w:rPr>
      </w:pPr>
      <w:r w:rsidRPr="005C124C">
        <w:rPr>
          <w:rFonts w:ascii="Times New Roman" w:hAnsi="Times New Roman"/>
          <w:sz w:val="22"/>
          <w:szCs w:val="22"/>
        </w:rPr>
        <w:t xml:space="preserve">To be supplied </w:t>
      </w:r>
      <w:r w:rsidR="002D0CE1" w:rsidRPr="005C124C">
        <w:rPr>
          <w:rFonts w:ascii="Times New Roman" w:hAnsi="Times New Roman"/>
          <w:sz w:val="22"/>
          <w:szCs w:val="22"/>
        </w:rPr>
        <w:t>i</w:t>
      </w:r>
      <w:r w:rsidRPr="005C124C">
        <w:rPr>
          <w:rFonts w:ascii="Times New Roman" w:hAnsi="Times New Roman"/>
          <w:sz w:val="22"/>
          <w:szCs w:val="22"/>
        </w:rPr>
        <w:t>n free</w:t>
      </w:r>
      <w:r w:rsidR="002D0CE1" w:rsidRPr="005C124C">
        <w:rPr>
          <w:rFonts w:ascii="Times New Roman" w:hAnsi="Times New Roman"/>
          <w:sz w:val="22"/>
          <w:szCs w:val="22"/>
        </w:rPr>
        <w:t>-text</w:t>
      </w:r>
      <w:r w:rsidRPr="005C124C">
        <w:rPr>
          <w:rFonts w:ascii="Times New Roman" w:hAnsi="Times New Roman"/>
          <w:sz w:val="22"/>
          <w:szCs w:val="22"/>
        </w:rPr>
        <w:t xml:space="preserve"> format:</w:t>
      </w:r>
    </w:p>
    <w:p w:rsidR="0047783A" w:rsidRPr="005C124C" w:rsidRDefault="0047783A" w:rsidP="00D45256">
      <w:pPr>
        <w:pStyle w:val="Text1"/>
        <w:numPr>
          <w:ilvl w:val="0"/>
          <w:numId w:val="36"/>
        </w:numPr>
        <w:ind w:left="1134" w:hanging="425"/>
        <w:rPr>
          <w:sz w:val="22"/>
        </w:rPr>
      </w:pPr>
      <w:r w:rsidRPr="005C124C">
        <w:rPr>
          <w:sz w:val="22"/>
        </w:rPr>
        <w:t xml:space="preserve">A description of the warranty conditions, which must be in accordance with the conditions laid down in Article 32 of the </w:t>
      </w:r>
      <w:r w:rsidR="005C1201" w:rsidRPr="005C124C">
        <w:rPr>
          <w:sz w:val="22"/>
        </w:rPr>
        <w:t>g</w:t>
      </w:r>
      <w:r w:rsidRPr="005C124C">
        <w:rPr>
          <w:sz w:val="22"/>
        </w:rPr>
        <w:t xml:space="preserve">eneral </w:t>
      </w:r>
      <w:r w:rsidR="005C1201" w:rsidRPr="005C124C">
        <w:rPr>
          <w:sz w:val="22"/>
        </w:rPr>
        <w:t>c</w:t>
      </w:r>
      <w:r w:rsidRPr="005C124C">
        <w:rPr>
          <w:sz w:val="22"/>
        </w:rPr>
        <w:t>onditions</w:t>
      </w:r>
      <w:r w:rsidRPr="005C124C">
        <w:rPr>
          <w:color w:val="339966"/>
          <w:sz w:val="22"/>
          <w:u w:val="single"/>
        </w:rPr>
        <w:t>.</w:t>
      </w:r>
    </w:p>
    <w:p w:rsidR="0047783A" w:rsidRPr="005C124C" w:rsidRDefault="0047783A" w:rsidP="00D45256">
      <w:pPr>
        <w:pStyle w:val="Text1"/>
        <w:numPr>
          <w:ilvl w:val="0"/>
          <w:numId w:val="36"/>
        </w:numPr>
        <w:ind w:left="1134" w:hanging="425"/>
        <w:rPr>
          <w:sz w:val="22"/>
        </w:rPr>
      </w:pPr>
      <w:r w:rsidRPr="005C124C">
        <w:rPr>
          <w:sz w:val="22"/>
        </w:rPr>
        <w:t xml:space="preserve">A description of the organisation of the commercial warranty tendered in accordance with the conditions laid down in Article 32 of the </w:t>
      </w:r>
      <w:r w:rsidR="005C1201" w:rsidRPr="005C124C">
        <w:rPr>
          <w:sz w:val="22"/>
        </w:rPr>
        <w:t>s</w:t>
      </w:r>
      <w:r w:rsidRPr="005C124C">
        <w:rPr>
          <w:sz w:val="22"/>
        </w:rPr>
        <w:t xml:space="preserve">pecial </w:t>
      </w:r>
      <w:r w:rsidR="005C1201" w:rsidRPr="005C124C">
        <w:rPr>
          <w:sz w:val="22"/>
        </w:rPr>
        <w:t>c</w:t>
      </w:r>
      <w:r w:rsidRPr="005C124C">
        <w:rPr>
          <w:sz w:val="22"/>
        </w:rPr>
        <w:t>onditions</w:t>
      </w:r>
    </w:p>
    <w:p w:rsidR="0047783A" w:rsidRPr="00E82463" w:rsidRDefault="0047783A" w:rsidP="00D45256">
      <w:pPr>
        <w:pStyle w:val="Text1"/>
        <w:numPr>
          <w:ilvl w:val="0"/>
          <w:numId w:val="36"/>
        </w:numPr>
        <w:ind w:left="1134" w:hanging="425"/>
        <w:rPr>
          <w:sz w:val="22"/>
        </w:rPr>
      </w:pPr>
      <w:r w:rsidRPr="00E82463">
        <w:rPr>
          <w:sz w:val="22"/>
        </w:rPr>
        <w:t>Duly authorised signature: an official document (statutes, power of attorney, notary statement, etc.) proving that the person who signs on behalf of the company</w:t>
      </w:r>
      <w:r w:rsidR="000D66C0">
        <w:rPr>
          <w:sz w:val="22"/>
        </w:rPr>
        <w:t xml:space="preserve">, </w:t>
      </w:r>
      <w:r w:rsidRPr="00E82463">
        <w:rPr>
          <w:sz w:val="22"/>
        </w:rPr>
        <w:t>joint venture</w:t>
      </w:r>
      <w:r w:rsidR="000D66C0">
        <w:rPr>
          <w:sz w:val="22"/>
        </w:rPr>
        <w:t xml:space="preserve"> or </w:t>
      </w:r>
      <w:r w:rsidRPr="00E82463">
        <w:rPr>
          <w:sz w:val="22"/>
        </w:rPr>
        <w:t>consortium is duly authorised to do so.</w:t>
      </w:r>
    </w:p>
    <w:p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9" w:anchor="Annexes-AnnexesC(Ch.4):Supplies" w:history="1">
        <w:r w:rsidR="00CA1363" w:rsidRPr="00526740">
          <w:rPr>
            <w:rStyle w:val="Hyperlink"/>
            <w:rFonts w:ascii="Times New Roman" w:hAnsi="Times New Roman"/>
            <w:sz w:val="22"/>
            <w:szCs w:val="22"/>
          </w:rPr>
          <w:t>https://wikis.ec.europa.eu/display/ExactExternalWiki/Annexes#Annexes-AnnexesC(Ch.4):Supplies</w:t>
        </w:r>
      </w:hyperlink>
    </w:p>
    <w:p w:rsidR="0047783A" w:rsidRPr="00D45256" w:rsidRDefault="00A633C6" w:rsidP="00D45256">
      <w:pPr>
        <w:pStyle w:val="Heading1"/>
        <w:rPr>
          <w:lang w:val="en-IE"/>
        </w:rPr>
      </w:pPr>
      <w:bookmarkStart w:id="20" w:name="_Toc42488081"/>
      <w:r w:rsidRPr="00D45256">
        <w:rPr>
          <w:lang w:val="en-IE"/>
        </w:rPr>
        <w:t>12.</w:t>
      </w:r>
      <w:r w:rsidR="005A3D33" w:rsidRPr="00D45256">
        <w:rPr>
          <w:lang w:val="en-IE"/>
        </w:rPr>
        <w:tab/>
      </w:r>
      <w:r w:rsidR="0047783A" w:rsidRPr="00D45256">
        <w:rPr>
          <w:lang w:val="en-IE"/>
        </w:rPr>
        <w:t xml:space="preserve">Taxes and </w:t>
      </w:r>
      <w:r w:rsidR="0047783A" w:rsidRPr="00D45256">
        <w:rPr>
          <w:lang w:val="en-GB"/>
        </w:rPr>
        <w:t>other</w:t>
      </w:r>
      <w:r w:rsidR="0047783A" w:rsidRPr="00D45256">
        <w:rPr>
          <w:lang w:val="en-IE"/>
        </w:rPr>
        <w:t xml:space="preserve"> charges</w:t>
      </w:r>
      <w:bookmarkEnd w:id="20"/>
    </w:p>
    <w:p w:rsidR="005C124C" w:rsidRPr="005C124C" w:rsidRDefault="005C124C" w:rsidP="005C124C">
      <w:pPr>
        <w:pStyle w:val="Heading2"/>
        <w:ind w:left="567"/>
        <w:jc w:val="both"/>
        <w:rPr>
          <w:rFonts w:ascii="Times New Roman" w:hAnsi="Times New Roman"/>
          <w:sz w:val="22"/>
          <w:lang w:val="en-GB"/>
        </w:rPr>
      </w:pPr>
      <w:r w:rsidRPr="005C124C">
        <w:rPr>
          <w:rFonts w:ascii="Times New Roman" w:hAnsi="Times New Roman"/>
          <w:sz w:val="22"/>
          <w:lang w:val="en-GB"/>
        </w:rPr>
        <w:t>The applicable tax and customs arrangements are the following:</w:t>
      </w:r>
    </w:p>
    <w:p w:rsidR="005C124C" w:rsidRPr="001C58F3" w:rsidRDefault="005C124C" w:rsidP="005C124C">
      <w:pPr>
        <w:pStyle w:val="Heading2"/>
        <w:keepNext w:val="0"/>
        <w:tabs>
          <w:tab w:val="num" w:pos="567"/>
        </w:tabs>
        <w:spacing w:before="0"/>
        <w:ind w:left="567"/>
        <w:jc w:val="both"/>
        <w:rPr>
          <w:rFonts w:ascii="Times New Roman" w:hAnsi="Times New Roman"/>
          <w:sz w:val="22"/>
          <w:lang w:val="en-GB"/>
        </w:rPr>
      </w:pPr>
      <w:r w:rsidRPr="005C124C">
        <w:rPr>
          <w:rFonts w:ascii="Times New Roman" w:hAnsi="Times New Roman"/>
          <w:sz w:val="22"/>
          <w:lang w:val="en-GB"/>
        </w:rPr>
        <w:t>The contract shall be exempt from all duties and taxes, including VAT in accordance with the “Rules for the implementation of the exemption from customs duties and other taxes, excise duties and value added tax (VAT) on import of goods and provision of funds for payment of excise duty and VAT on the supply of goods and services in the country, needed for the implementation of projects financed by funds of foreign donors” (Official Gazette of RM - No.98/2014 from 30.06.2014; No.217/15 from 11.12.2015; No. 89/16 from 09.05.2016 and according to the Agreement between the Government of the Republic of Macedonia and the European Union from 26.07.1996.</w:t>
      </w:r>
    </w:p>
    <w:p w:rsidR="0047783A" w:rsidRPr="00E82463" w:rsidRDefault="0047783A" w:rsidP="003051AA">
      <w:pPr>
        <w:pStyle w:val="Heading2"/>
        <w:keepNext w:val="0"/>
        <w:tabs>
          <w:tab w:val="num" w:pos="567"/>
        </w:tabs>
        <w:spacing w:before="0"/>
        <w:ind w:left="567"/>
        <w:jc w:val="both"/>
        <w:rPr>
          <w:rFonts w:ascii="Times New Roman" w:hAnsi="Times New Roman"/>
          <w:sz w:val="22"/>
          <w:lang w:val="en-GB"/>
        </w:rPr>
      </w:pPr>
    </w:p>
    <w:p w:rsidR="0047783A" w:rsidRPr="00D45256" w:rsidRDefault="00A633C6" w:rsidP="00D45256">
      <w:pPr>
        <w:pStyle w:val="Heading1"/>
        <w:rPr>
          <w:lang w:val="en-IE"/>
        </w:rPr>
      </w:pPr>
      <w:bookmarkStart w:id="21" w:name="_Toc42488082"/>
      <w:r w:rsidRPr="00D45256">
        <w:rPr>
          <w:lang w:val="en-IE"/>
        </w:rPr>
        <w:t>13.</w:t>
      </w:r>
      <w:r w:rsidR="005A3D33" w:rsidRPr="00D45256">
        <w:rPr>
          <w:lang w:val="en-IE"/>
        </w:rPr>
        <w:tab/>
      </w:r>
      <w:r w:rsidR="0047783A" w:rsidRPr="00D45256">
        <w:rPr>
          <w:lang w:val="en-IE"/>
        </w:rPr>
        <w:t>Additional information before the deadline for submission of tenders</w:t>
      </w:r>
      <w:bookmarkEnd w:id="21"/>
    </w:p>
    <w:p w:rsidR="0047783A" w:rsidRPr="005C124C" w:rsidRDefault="0047783A" w:rsidP="00767390">
      <w:pPr>
        <w:ind w:left="567"/>
        <w:jc w:val="both"/>
        <w:rPr>
          <w:rFonts w:ascii="Times New Roman" w:hAnsi="Times New Roman"/>
          <w:sz w:val="22"/>
        </w:rPr>
      </w:pPr>
      <w:r w:rsidRPr="00E82463">
        <w:rPr>
          <w:rFonts w:ascii="Times New Roman" w:hAnsi="Times New Roman"/>
          <w:sz w:val="22"/>
        </w:rPr>
        <w:t xml:space="preserve">The tender dossier should be clear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 xml:space="preserve">uthority, on its own initiative or in response to a </w:t>
      </w:r>
      <w:r w:rsidRPr="005C124C">
        <w:rPr>
          <w:rFonts w:ascii="Times New Roman" w:hAnsi="Times New Roman"/>
          <w:sz w:val="22"/>
        </w:rPr>
        <w:t>request from a prospective tenderer, provides additional information on the tender dossier, it must send such information in writing to all other prospective tenderers at the same time.</w:t>
      </w:r>
    </w:p>
    <w:p w:rsidR="0077201B" w:rsidRPr="005C124C" w:rsidRDefault="0077201B" w:rsidP="00767390">
      <w:pPr>
        <w:keepNext/>
        <w:ind w:left="567"/>
        <w:jc w:val="both"/>
        <w:rPr>
          <w:rFonts w:ascii="Times New Roman" w:hAnsi="Times New Roman"/>
          <w:sz w:val="22"/>
          <w:szCs w:val="22"/>
        </w:rPr>
      </w:pPr>
      <w:r w:rsidRPr="005C124C">
        <w:rPr>
          <w:rFonts w:ascii="Times New Roman" w:hAnsi="Times New Roman"/>
          <w:sz w:val="22"/>
          <w:szCs w:val="22"/>
        </w:rPr>
        <w:t>Tenderers may submit questions in writing to the following address up to</w:t>
      </w:r>
      <w:r w:rsidR="005F7A76" w:rsidRPr="005C124C">
        <w:rPr>
          <w:rFonts w:ascii="Times New Roman" w:hAnsi="Times New Roman"/>
          <w:sz w:val="22"/>
          <w:szCs w:val="22"/>
        </w:rPr>
        <w:t xml:space="preserve">15 </w:t>
      </w:r>
      <w:r w:rsidRPr="005C124C">
        <w:rPr>
          <w:rFonts w:ascii="Times New Roman" w:hAnsi="Times New Roman"/>
          <w:sz w:val="22"/>
          <w:szCs w:val="22"/>
        </w:rPr>
        <w:t>daysbefore the deadline for submission of tenders, specifying the publication reference and the contract title:</w:t>
      </w:r>
    </w:p>
    <w:p w:rsidR="004A25BD" w:rsidRPr="005C124C" w:rsidRDefault="005C124C" w:rsidP="005C124C">
      <w:pPr>
        <w:pStyle w:val="BodyText"/>
        <w:spacing w:after="0"/>
        <w:ind w:left="567"/>
        <w:jc w:val="center"/>
        <w:rPr>
          <w:rFonts w:ascii="Times New Roman" w:hAnsi="Times New Roman"/>
          <w:sz w:val="22"/>
          <w:szCs w:val="22"/>
        </w:rPr>
      </w:pPr>
      <w:r w:rsidRPr="005C124C">
        <w:rPr>
          <w:rFonts w:ascii="Times New Roman" w:hAnsi="Times New Roman"/>
          <w:sz w:val="22"/>
          <w:szCs w:val="22"/>
        </w:rPr>
        <w:t>Municipality of Negotino</w:t>
      </w:r>
      <w:r w:rsidRPr="005C124C">
        <w:rPr>
          <w:rFonts w:ascii="Times New Roman" w:hAnsi="Times New Roman"/>
          <w:sz w:val="22"/>
          <w:szCs w:val="22"/>
        </w:rPr>
        <w:br/>
        <w:t>str. Aco AdziIlov  no.2, Negotino</w:t>
      </w:r>
    </w:p>
    <w:p w:rsidR="005C124C" w:rsidRPr="005C124C" w:rsidRDefault="005C124C" w:rsidP="005C124C">
      <w:pPr>
        <w:pStyle w:val="BodyText"/>
        <w:spacing w:after="0"/>
        <w:ind w:left="567"/>
        <w:jc w:val="center"/>
        <w:rPr>
          <w:rFonts w:ascii="Times New Roman" w:hAnsi="Times New Roman"/>
          <w:sz w:val="22"/>
          <w:szCs w:val="22"/>
        </w:rPr>
      </w:pPr>
      <w:r w:rsidRPr="005C124C">
        <w:rPr>
          <w:rFonts w:ascii="Times New Roman" w:hAnsi="Times New Roman"/>
          <w:sz w:val="22"/>
          <w:szCs w:val="22"/>
        </w:rPr>
        <w:t>e-mail:necevalidija@yahoo.com</w:t>
      </w:r>
    </w:p>
    <w:p w:rsidR="00A93219" w:rsidRPr="005C124C" w:rsidRDefault="00A93219" w:rsidP="00D45256">
      <w:pPr>
        <w:pStyle w:val="BodyText"/>
        <w:ind w:left="567"/>
        <w:jc w:val="both"/>
        <w:rPr>
          <w:rFonts w:ascii="Times New Roman" w:hAnsi="Times New Roman"/>
          <w:sz w:val="22"/>
          <w:szCs w:val="22"/>
        </w:rPr>
      </w:pPr>
      <w:r w:rsidRPr="005C124C">
        <w:rPr>
          <w:rFonts w:ascii="Times New Roman" w:hAnsi="Times New Roman"/>
          <w:sz w:val="22"/>
          <w:szCs w:val="22"/>
        </w:rPr>
        <w:t>Any clarification of the tender dossier will be communicated simultaneously in writing to all tenderers at the latest 8 days before the deadline for submitting tenders</w:t>
      </w:r>
    </w:p>
    <w:p w:rsidR="0047783A" w:rsidRPr="00E82463" w:rsidRDefault="0047783A" w:rsidP="00767390">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rsidR="0047783A" w:rsidRPr="00D45256" w:rsidRDefault="00A633C6" w:rsidP="00D45256">
      <w:pPr>
        <w:pStyle w:val="Heading1"/>
        <w:rPr>
          <w:lang w:val="en-IE"/>
        </w:rPr>
      </w:pPr>
      <w:bookmarkStart w:id="22" w:name="_Toc42488083"/>
      <w:r w:rsidRPr="00D45256">
        <w:rPr>
          <w:lang w:val="en-IE"/>
        </w:rPr>
        <w:t>14.</w:t>
      </w:r>
      <w:r w:rsidR="005A3D33" w:rsidRPr="00D45256">
        <w:rPr>
          <w:lang w:val="en-IE"/>
        </w:rPr>
        <w:tab/>
      </w:r>
      <w:r w:rsidR="0047783A" w:rsidRPr="00D45256">
        <w:rPr>
          <w:lang w:val="en-IE"/>
        </w:rPr>
        <w:t>Clarification meeting / site visit</w:t>
      </w:r>
      <w:bookmarkEnd w:id="22"/>
    </w:p>
    <w:p w:rsidR="0047783A" w:rsidRPr="005C124C" w:rsidRDefault="0047783A" w:rsidP="005C124C">
      <w:pPr>
        <w:pStyle w:val="BodyText"/>
        <w:ind w:left="567" w:hanging="567"/>
        <w:rPr>
          <w:rFonts w:ascii="Times New Roman" w:hAnsi="Times New Roman"/>
          <w:sz w:val="22"/>
          <w:szCs w:val="22"/>
        </w:rPr>
      </w:pPr>
      <w:r w:rsidRPr="005C124C">
        <w:rPr>
          <w:rFonts w:ascii="Times New Roman" w:hAnsi="Times New Roman"/>
          <w:sz w:val="22"/>
          <w:szCs w:val="22"/>
        </w:rPr>
        <w:t>14.1</w:t>
      </w:r>
      <w:r w:rsidRPr="005C124C">
        <w:rPr>
          <w:rFonts w:ascii="Times New Roman" w:hAnsi="Times New Roman"/>
          <w:sz w:val="22"/>
          <w:szCs w:val="22"/>
        </w:rPr>
        <w:tab/>
        <w:t xml:space="preserve">No </w:t>
      </w:r>
      <w:r w:rsidR="00EC2910" w:rsidRPr="005C124C">
        <w:rPr>
          <w:rFonts w:ascii="Times New Roman" w:hAnsi="Times New Roman"/>
          <w:sz w:val="22"/>
          <w:szCs w:val="22"/>
        </w:rPr>
        <w:t xml:space="preserve">information </w:t>
      </w:r>
      <w:r w:rsidRPr="005C124C">
        <w:rPr>
          <w:rFonts w:ascii="Times New Roman" w:hAnsi="Times New Roman"/>
          <w:sz w:val="22"/>
          <w:szCs w:val="22"/>
        </w:rPr>
        <w:t>meeting / site visit planned. Visits by individual prospective tenderers during the tender period cannot be organised.</w:t>
      </w:r>
    </w:p>
    <w:p w:rsidR="0047783A" w:rsidRPr="00D45256" w:rsidRDefault="005A3D33" w:rsidP="00D45256">
      <w:pPr>
        <w:pStyle w:val="Heading1"/>
        <w:rPr>
          <w:lang w:val="en-IE"/>
        </w:rPr>
      </w:pPr>
      <w:bookmarkStart w:id="23" w:name="_Toc42488084"/>
      <w:r w:rsidRPr="00D45256">
        <w:rPr>
          <w:lang w:val="en-IE"/>
        </w:rPr>
        <w:t>15.</w:t>
      </w:r>
      <w:r w:rsidRPr="00D45256">
        <w:rPr>
          <w:lang w:val="en-IE"/>
        </w:rPr>
        <w:tab/>
      </w:r>
      <w:r w:rsidR="0047783A" w:rsidRPr="00D45256">
        <w:rPr>
          <w:lang w:val="en-IE"/>
        </w:rPr>
        <w:t>Alteration or withdrawal of tenders</w:t>
      </w:r>
      <w:bookmarkEnd w:id="23"/>
    </w:p>
    <w:p w:rsidR="002F559C" w:rsidRPr="005C124C" w:rsidRDefault="0047783A" w:rsidP="005C124C">
      <w:pPr>
        <w:pStyle w:val="Heading2"/>
        <w:keepLines/>
        <w:ind w:left="567" w:hanging="567"/>
        <w:jc w:val="both"/>
        <w:rPr>
          <w:rFonts w:ascii="Times New Roman" w:hAnsi="Times New Roman"/>
          <w:sz w:val="22"/>
          <w:lang w:val="en-IE"/>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r w:rsidR="002F559C" w:rsidRPr="005C124C">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p>
    <w:p w:rsidR="0047783A" w:rsidRPr="005C124C" w:rsidRDefault="0047783A" w:rsidP="009956B4">
      <w:pPr>
        <w:pStyle w:val="Heading2"/>
        <w:keepNext w:val="0"/>
        <w:ind w:left="567"/>
        <w:jc w:val="both"/>
        <w:rPr>
          <w:rFonts w:ascii="Times New Roman" w:hAnsi="Times New Roman"/>
          <w:sz w:val="22"/>
          <w:szCs w:val="22"/>
          <w:lang w:val="en-GB"/>
        </w:rPr>
      </w:pPr>
      <w:r w:rsidRPr="005C124C">
        <w:rPr>
          <w:rFonts w:ascii="Times New Roman" w:hAnsi="Times New Roman"/>
          <w:sz w:val="22"/>
          <w:szCs w:val="22"/>
          <w:lang w:val="en-GB"/>
        </w:rPr>
        <w:t xml:space="preserve">Any such notification of alteration or withdrawal must be prepared and submitted in accordance with </w:t>
      </w:r>
      <w:r w:rsidR="000C6C88" w:rsidRPr="005C124C">
        <w:rPr>
          <w:rFonts w:ascii="Times New Roman" w:hAnsi="Times New Roman"/>
          <w:sz w:val="22"/>
          <w:szCs w:val="22"/>
          <w:lang w:val="en-GB"/>
        </w:rPr>
        <w:t>Section 10</w:t>
      </w:r>
      <w:r w:rsidRPr="005C124C">
        <w:rPr>
          <w:rFonts w:ascii="Times New Roman" w:hAnsi="Times New Roman"/>
          <w:sz w:val="22"/>
          <w:szCs w:val="22"/>
          <w:lang w:val="en-GB"/>
        </w:rPr>
        <w:t xml:space="preserve">. The outer envelope must be marked </w:t>
      </w:r>
      <w:r w:rsidR="006A5F84" w:rsidRPr="005C124C">
        <w:rPr>
          <w:rFonts w:ascii="Times New Roman" w:hAnsi="Times New Roman"/>
          <w:sz w:val="22"/>
          <w:szCs w:val="22"/>
          <w:lang w:val="en-GB"/>
        </w:rPr>
        <w:t>‘</w:t>
      </w:r>
      <w:r w:rsidRPr="005C124C">
        <w:rPr>
          <w:rFonts w:ascii="Times New Roman" w:hAnsi="Times New Roman"/>
          <w:sz w:val="22"/>
          <w:szCs w:val="22"/>
          <w:lang w:val="en-GB"/>
        </w:rPr>
        <w:t>Alteration</w:t>
      </w:r>
      <w:r w:rsidR="006A5F84" w:rsidRPr="005C124C">
        <w:rPr>
          <w:rFonts w:ascii="Times New Roman" w:hAnsi="Times New Roman"/>
          <w:sz w:val="22"/>
          <w:szCs w:val="22"/>
          <w:lang w:val="en-GB"/>
        </w:rPr>
        <w:t>’</w:t>
      </w:r>
      <w:r w:rsidRPr="005C124C">
        <w:rPr>
          <w:rFonts w:ascii="Times New Roman" w:hAnsi="Times New Roman"/>
          <w:sz w:val="22"/>
          <w:szCs w:val="22"/>
          <w:lang w:val="en-GB"/>
        </w:rPr>
        <w:t xml:space="preserve"> or </w:t>
      </w:r>
      <w:r w:rsidR="006A5F84" w:rsidRPr="005C124C">
        <w:rPr>
          <w:rFonts w:ascii="Times New Roman" w:hAnsi="Times New Roman"/>
          <w:sz w:val="22"/>
          <w:szCs w:val="22"/>
          <w:lang w:val="en-GB"/>
        </w:rPr>
        <w:t>‘</w:t>
      </w:r>
      <w:r w:rsidRPr="005C124C">
        <w:rPr>
          <w:rFonts w:ascii="Times New Roman" w:hAnsi="Times New Roman"/>
          <w:sz w:val="22"/>
          <w:szCs w:val="22"/>
          <w:lang w:val="en-GB"/>
        </w:rPr>
        <w:t>Withdrawal</w:t>
      </w:r>
      <w:r w:rsidR="006A5F84" w:rsidRPr="005C124C">
        <w:rPr>
          <w:rFonts w:ascii="Times New Roman" w:hAnsi="Times New Roman"/>
          <w:sz w:val="22"/>
          <w:szCs w:val="22"/>
          <w:lang w:val="en-GB"/>
        </w:rPr>
        <w:t>’</w:t>
      </w:r>
      <w:r w:rsidRPr="005C124C">
        <w:rPr>
          <w:rFonts w:ascii="Times New Roman" w:hAnsi="Times New Roman"/>
          <w:sz w:val="22"/>
          <w:szCs w:val="22"/>
          <w:lang w:val="en-GB"/>
        </w:rPr>
        <w:t xml:space="preserve"> as appropriate.</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tendersand the expiry of the tender validity period. Withdrawal of a tender during this interval may result in forfeiture of the tender guarantee.</w:t>
      </w:r>
    </w:p>
    <w:p w:rsidR="0047783A" w:rsidRPr="00D45256" w:rsidRDefault="00A633C6" w:rsidP="00D45256">
      <w:pPr>
        <w:pStyle w:val="Heading1"/>
        <w:rPr>
          <w:lang w:val="en-IE"/>
        </w:rPr>
      </w:pPr>
      <w:bookmarkStart w:id="24" w:name="_Toc42488085"/>
      <w:r w:rsidRPr="00D45256">
        <w:rPr>
          <w:lang w:val="en-IE"/>
        </w:rPr>
        <w:t>16.</w:t>
      </w:r>
      <w:r w:rsidR="005A3D33" w:rsidRPr="00D45256">
        <w:rPr>
          <w:lang w:val="en-IE"/>
        </w:rPr>
        <w:tab/>
      </w:r>
      <w:r w:rsidR="0047783A" w:rsidRPr="00D45256">
        <w:rPr>
          <w:lang w:val="en-IE"/>
        </w:rPr>
        <w:t>Costs of preparing tenders</w:t>
      </w:r>
      <w:bookmarkEnd w:id="24"/>
    </w:p>
    <w:p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rsidR="0047783A" w:rsidRPr="00D45256" w:rsidRDefault="00A633C6" w:rsidP="00D45256">
      <w:pPr>
        <w:pStyle w:val="Heading1"/>
        <w:rPr>
          <w:lang w:val="en-IE"/>
        </w:rPr>
      </w:pPr>
      <w:r w:rsidRPr="00D45256">
        <w:rPr>
          <w:lang w:val="en-IE"/>
        </w:rPr>
        <w:t>17.</w:t>
      </w:r>
      <w:r w:rsidR="005A3D33" w:rsidRPr="00D45256">
        <w:rPr>
          <w:lang w:val="en-IE"/>
        </w:rPr>
        <w:tab/>
      </w:r>
      <w:bookmarkStart w:id="25" w:name="_Toc42488086"/>
      <w:r w:rsidR="0047783A" w:rsidRPr="00D45256">
        <w:rPr>
          <w:lang w:val="en-IE"/>
        </w:rPr>
        <w:t>Ownership of tenders</w:t>
      </w:r>
      <w:bookmarkEnd w:id="25"/>
    </w:p>
    <w:p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rsidR="0047783A" w:rsidRPr="00D45256" w:rsidRDefault="00A633C6" w:rsidP="00D45256">
      <w:pPr>
        <w:pStyle w:val="Heading1"/>
        <w:rPr>
          <w:lang w:val="en-IE"/>
        </w:rPr>
      </w:pPr>
      <w:bookmarkStart w:id="26" w:name="_Toc42488087"/>
      <w:r w:rsidRPr="00D45256">
        <w:rPr>
          <w:lang w:val="en-IE"/>
        </w:rPr>
        <w:t>18.</w:t>
      </w:r>
      <w:r w:rsidR="005A3D33" w:rsidRPr="00D45256">
        <w:rPr>
          <w:lang w:val="en-IE"/>
        </w:rPr>
        <w:tab/>
      </w:r>
      <w:r w:rsidR="0047783A" w:rsidRPr="00D45256">
        <w:rPr>
          <w:lang w:val="en-IE"/>
        </w:rPr>
        <w:t>Joint venture or consortium</w:t>
      </w:r>
      <w:bookmarkEnd w:id="26"/>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w:t>
      </w:r>
    </w:p>
    <w:p w:rsidR="0047783A" w:rsidRPr="00D45256" w:rsidRDefault="00A633C6" w:rsidP="00D45256">
      <w:pPr>
        <w:pStyle w:val="Heading1"/>
        <w:rPr>
          <w:lang w:val="en-IE"/>
        </w:rPr>
      </w:pPr>
      <w:bookmarkStart w:id="27" w:name="_Toc42488088"/>
      <w:r w:rsidRPr="00D45256">
        <w:rPr>
          <w:lang w:val="en-IE"/>
        </w:rPr>
        <w:t>19.</w:t>
      </w:r>
      <w:r w:rsidR="00092841" w:rsidRPr="00D45256">
        <w:rPr>
          <w:lang w:val="en-IE"/>
        </w:rPr>
        <w:tab/>
      </w:r>
      <w:r w:rsidR="0047783A" w:rsidRPr="00D45256">
        <w:rPr>
          <w:lang w:val="en-IE"/>
        </w:rPr>
        <w:t>Opening of tenders</w:t>
      </w:r>
      <w:bookmarkEnd w:id="27"/>
    </w:p>
    <w:p w:rsidR="0047783A" w:rsidRPr="005C124C"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 xml:space="preserve">have been submitted in </w:t>
      </w:r>
      <w:r w:rsidR="007531D2" w:rsidRPr="005C124C">
        <w:rPr>
          <w:rFonts w:ascii="Times New Roman" w:hAnsi="Times New Roman"/>
          <w:sz w:val="22"/>
          <w:lang w:val="en-GB"/>
        </w:rPr>
        <w:t>accordance with the submission requirements of the call for tenders</w:t>
      </w:r>
      <w:r w:rsidRPr="005C124C">
        <w:rPr>
          <w:rFonts w:ascii="Times New Roman" w:hAnsi="Times New Roman"/>
          <w:sz w:val="22"/>
          <w:lang w:val="en-GB"/>
        </w:rPr>
        <w:t>.</w:t>
      </w:r>
    </w:p>
    <w:p w:rsidR="0096647C" w:rsidRPr="005C124C" w:rsidRDefault="0047783A" w:rsidP="00CC6171">
      <w:pPr>
        <w:pStyle w:val="Heading2"/>
        <w:ind w:left="567" w:hanging="567"/>
        <w:jc w:val="both"/>
        <w:rPr>
          <w:rFonts w:ascii="Times New Roman" w:hAnsi="Times New Roman"/>
          <w:sz w:val="22"/>
          <w:szCs w:val="22"/>
        </w:rPr>
      </w:pPr>
      <w:r w:rsidRPr="005C124C">
        <w:rPr>
          <w:rFonts w:ascii="Times New Roman" w:hAnsi="Times New Roman"/>
          <w:sz w:val="22"/>
          <w:lang w:val="en-GB"/>
        </w:rPr>
        <w:t>19.2</w:t>
      </w:r>
      <w:r w:rsidRPr="005C124C">
        <w:rPr>
          <w:rFonts w:ascii="Times New Roman" w:hAnsi="Times New Roman"/>
          <w:sz w:val="22"/>
          <w:lang w:val="en-GB"/>
        </w:rPr>
        <w:tab/>
      </w:r>
      <w:r w:rsidR="0096647C" w:rsidRPr="00CC6171">
        <w:rPr>
          <w:rFonts w:ascii="Times New Roman" w:hAnsi="Times New Roman"/>
          <w:sz w:val="22"/>
          <w:szCs w:val="22"/>
          <w:lang w:val="en-US"/>
        </w:rPr>
        <w:t xml:space="preserve">Tenderers wishing to attend the opening session, are required to send a request by email to </w:t>
      </w:r>
      <w:r w:rsidR="005C124C" w:rsidRPr="00CC6171">
        <w:rPr>
          <w:rFonts w:ascii="Times New Roman" w:hAnsi="Times New Roman"/>
          <w:sz w:val="22"/>
          <w:szCs w:val="22"/>
          <w:lang w:val="en-US"/>
        </w:rPr>
        <w:t>necevalidija@yahoo.com</w:t>
      </w:r>
      <w:r w:rsidR="0096647C" w:rsidRPr="00CC6171">
        <w:rPr>
          <w:rFonts w:ascii="Times New Roman" w:hAnsi="Times New Roman"/>
          <w:sz w:val="22"/>
          <w:szCs w:val="22"/>
          <w:lang w:val="en-US"/>
        </w:rPr>
        <w:t xml:space="preserve"> no later than </w:t>
      </w:r>
      <w:r w:rsidR="00CC6171" w:rsidRPr="00CC6171">
        <w:rPr>
          <w:rFonts w:ascii="Times New Roman" w:hAnsi="Times New Roman"/>
          <w:sz w:val="22"/>
          <w:szCs w:val="22"/>
          <w:lang w:val="en-US"/>
        </w:rPr>
        <w:t>five</w:t>
      </w:r>
      <w:r w:rsidR="0096647C" w:rsidRPr="00CC6171">
        <w:rPr>
          <w:rFonts w:ascii="Times New Roman" w:hAnsi="Times New Roman"/>
          <w:sz w:val="22"/>
          <w:szCs w:val="22"/>
          <w:lang w:val="en-US"/>
        </w:rPr>
        <w:t xml:space="preserve"> working days </w:t>
      </w:r>
      <w:r w:rsidR="00CC6171" w:rsidRPr="00CC6171">
        <w:rPr>
          <w:rFonts w:ascii="Times New Roman" w:hAnsi="Times New Roman"/>
          <w:sz w:val="22"/>
          <w:szCs w:val="22"/>
          <w:lang w:val="en-US"/>
        </w:rPr>
        <w:t xml:space="preserve">after </w:t>
      </w:r>
      <w:r w:rsidR="00CC6171" w:rsidRPr="00CC6171">
        <w:rPr>
          <w:rFonts w:ascii="Times New Roman" w:hAnsi="Times New Roman"/>
          <w:sz w:val="22"/>
          <w:lang w:val="en-US"/>
        </w:rPr>
        <w:t>the deadline for submitting of tenders specified in Contract Notice</w:t>
      </w:r>
      <w:r w:rsidR="0096647C" w:rsidRPr="00CC6171">
        <w:rPr>
          <w:rFonts w:ascii="Times New Roman" w:hAnsi="Times New Roman"/>
          <w:sz w:val="22"/>
          <w:szCs w:val="22"/>
          <w:lang w:val="en-US"/>
        </w:rPr>
        <w:t>. A</w:t>
      </w:r>
      <w:r w:rsidR="0096647C" w:rsidRPr="005C124C">
        <w:rPr>
          <w:rFonts w:ascii="Times New Roman" w:hAnsi="Times New Roman"/>
          <w:sz w:val="22"/>
          <w:szCs w:val="22"/>
        </w:rPr>
        <w:t xml:space="preserve"> maximum of two representatives per tender may attend. The representatives will receive an invitation to attend the opening session by email. This invitation will include the instructions on how to attend the opening.</w:t>
      </w:r>
    </w:p>
    <w:p w:rsidR="0047783A" w:rsidRPr="005C124C" w:rsidRDefault="0047783A">
      <w:pPr>
        <w:pStyle w:val="Heading2"/>
        <w:keepNext w:val="0"/>
        <w:ind w:left="567"/>
        <w:jc w:val="both"/>
        <w:rPr>
          <w:rFonts w:ascii="Times New Roman" w:hAnsi="Times New Roman"/>
          <w:sz w:val="22"/>
          <w:lang w:val="en-GB"/>
        </w:rPr>
      </w:pPr>
      <w:r w:rsidRPr="005C124C">
        <w:rPr>
          <w:rFonts w:ascii="Times New Roman" w:hAnsi="Times New Roman"/>
          <w:sz w:val="22"/>
          <w:lang w:val="en-GB"/>
        </w:rPr>
        <w:t>The committee will draw up minutes of the meeting, which will be available on request.</w:t>
      </w:r>
    </w:p>
    <w:p w:rsidR="00A5438F" w:rsidRPr="005C124C" w:rsidRDefault="00A5438F" w:rsidP="00FC6A15">
      <w:pPr>
        <w:ind w:left="567"/>
        <w:jc w:val="both"/>
        <w:rPr>
          <w:rFonts w:ascii="Times New Roman" w:hAnsi="Times New Roman"/>
          <w:sz w:val="22"/>
        </w:rPr>
      </w:pPr>
      <w:r w:rsidRPr="005C124C">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5C124C">
        <w:rPr>
          <w:rFonts w:ascii="Times New Roman" w:hAnsi="Times New Roman"/>
          <w:sz w:val="22"/>
        </w:rPr>
        <w:t>.</w:t>
      </w:r>
    </w:p>
    <w:p w:rsidR="0047783A" w:rsidRPr="005C124C" w:rsidRDefault="0047783A" w:rsidP="001A2BC4">
      <w:pPr>
        <w:ind w:left="567" w:hanging="567"/>
        <w:jc w:val="both"/>
        <w:rPr>
          <w:rFonts w:ascii="Times New Roman" w:hAnsi="Times New Roman"/>
          <w:sz w:val="22"/>
        </w:rPr>
      </w:pPr>
      <w:r w:rsidRPr="005C124C">
        <w:rPr>
          <w:rFonts w:ascii="Times New Roman" w:hAnsi="Times New Roman"/>
          <w:sz w:val="22"/>
        </w:rPr>
        <w:t>19.3</w:t>
      </w:r>
      <w:r w:rsidRPr="005C124C">
        <w:rPr>
          <w:rFonts w:ascii="Times New Roman" w:hAnsi="Times New Roman"/>
          <w:sz w:val="22"/>
        </w:rPr>
        <w:tab/>
        <w:t>At the tender opening, the tenderers</w:t>
      </w:r>
      <w:r w:rsidR="006A5F84" w:rsidRPr="005C124C">
        <w:rPr>
          <w:rFonts w:ascii="Times New Roman" w:hAnsi="Times New Roman"/>
          <w:sz w:val="22"/>
        </w:rPr>
        <w:t>’</w:t>
      </w:r>
      <w:r w:rsidRPr="005C124C">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5C124C">
        <w:rPr>
          <w:rFonts w:ascii="Times New Roman" w:hAnsi="Times New Roman"/>
          <w:sz w:val="22"/>
        </w:rPr>
        <w:t>c</w:t>
      </w:r>
      <w:r w:rsidRPr="005C124C">
        <w:rPr>
          <w:rFonts w:ascii="Times New Roman" w:hAnsi="Times New Roman"/>
          <w:sz w:val="22"/>
        </w:rPr>
        <w:t xml:space="preserve">ontracting </w:t>
      </w:r>
      <w:r w:rsidR="00DD6678" w:rsidRPr="005C124C">
        <w:rPr>
          <w:rFonts w:ascii="Times New Roman" w:hAnsi="Times New Roman"/>
          <w:sz w:val="22"/>
        </w:rPr>
        <w:t>a</w:t>
      </w:r>
      <w:r w:rsidRPr="005C124C">
        <w:rPr>
          <w:rFonts w:ascii="Times New Roman" w:hAnsi="Times New Roman"/>
          <w:sz w:val="22"/>
        </w:rPr>
        <w:t>uthority may consider appropriate may be announced.</w:t>
      </w:r>
    </w:p>
    <w:p w:rsidR="0047783A" w:rsidRPr="00E82463" w:rsidRDefault="0047783A" w:rsidP="0047783A">
      <w:pPr>
        <w:pStyle w:val="Heading2"/>
        <w:keepNext w:val="0"/>
        <w:ind w:left="567" w:hanging="567"/>
        <w:jc w:val="both"/>
        <w:rPr>
          <w:rFonts w:ascii="Times New Roman" w:hAnsi="Times New Roman"/>
          <w:sz w:val="22"/>
          <w:lang w:val="en-GB"/>
        </w:rPr>
      </w:pPr>
      <w:r w:rsidRPr="005C124C">
        <w:rPr>
          <w:rFonts w:ascii="Times New Roman" w:hAnsi="Times New Roman"/>
          <w:sz w:val="22"/>
          <w:lang w:val="en-GB"/>
        </w:rPr>
        <w:t>19.4</w:t>
      </w:r>
      <w:r w:rsidRPr="005C124C">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rsidR="0047783A" w:rsidRPr="00D45256" w:rsidRDefault="00A633C6" w:rsidP="00D45256">
      <w:pPr>
        <w:pStyle w:val="Heading1"/>
        <w:rPr>
          <w:lang w:val="en-IE"/>
        </w:rPr>
      </w:pPr>
      <w:bookmarkStart w:id="28" w:name="_Toc42488089"/>
      <w:r w:rsidRPr="00D45256">
        <w:rPr>
          <w:lang w:val="en-IE"/>
        </w:rPr>
        <w:t>20.</w:t>
      </w:r>
      <w:r w:rsidR="00092841" w:rsidRPr="00D45256">
        <w:rPr>
          <w:lang w:val="en-IE"/>
        </w:rPr>
        <w:tab/>
      </w:r>
      <w:r w:rsidR="0047783A" w:rsidRPr="00D45256">
        <w:rPr>
          <w:lang w:val="en-GB"/>
        </w:rPr>
        <w:t xml:space="preserve">Evaluation </w:t>
      </w:r>
      <w:r w:rsidR="0047783A" w:rsidRPr="00D45256">
        <w:rPr>
          <w:lang w:val="en-IE"/>
        </w:rPr>
        <w:t>of tenders</w:t>
      </w:r>
      <w:bookmarkEnd w:id="28"/>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47783A" w:rsidRPr="00E82463" w:rsidRDefault="0047783A" w:rsidP="00E82463">
      <w:pPr>
        <w:spacing w:before="0"/>
        <w:ind w:left="567"/>
        <w:jc w:val="both"/>
        <w:outlineLvl w:val="0"/>
        <w:rPr>
          <w:rFonts w:ascii="Times New Roman" w:hAnsi="Times New Roman"/>
          <w:sz w:val="22"/>
        </w:rPr>
      </w:pPr>
      <w:bookmarkStart w:id="29"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9"/>
    <w:p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2456F1" w:rsidRDefault="00462394" w:rsidP="00D45256">
      <w:pPr>
        <w:tabs>
          <w:tab w:val="left" w:pos="851"/>
        </w:tabs>
        <w:ind w:left="851" w:hanging="284"/>
        <w:jc w:val="both"/>
        <w:rPr>
          <w:rFonts w:ascii="Times New Roman" w:hAnsi="Times New Roman"/>
          <w:sz w:val="22"/>
        </w:rPr>
      </w:pPr>
      <w:r>
        <w:rPr>
          <w:rFonts w:ascii="Times New Roman" w:hAnsi="Times New Roman"/>
          <w:sz w:val="22"/>
        </w:rPr>
        <w:t>c)</w:t>
      </w:r>
      <w:r>
        <w:rPr>
          <w:rFonts w:ascii="Times New Roman" w:hAnsi="Times New Roman"/>
          <w:sz w:val="22"/>
        </w:rPr>
        <w:tab/>
      </w:r>
      <w:r w:rsidR="002456F1">
        <w:rPr>
          <w:rFonts w:ascii="Times New Roman" w:hAnsi="Times New Roman"/>
          <w:sz w:val="22"/>
        </w:rPr>
        <w:t>Unless specified otherwise, t</w:t>
      </w:r>
      <w:r w:rsidR="002456F1" w:rsidRPr="004002E5">
        <w:rPr>
          <w:rFonts w:ascii="Times New Roman" w:hAnsi="Times New Roman"/>
          <w:sz w:val="22"/>
        </w:rPr>
        <w:t xml:space="preserve">he purpose of the </w:t>
      </w:r>
      <w:r w:rsidR="002456F1">
        <w:rPr>
          <w:rFonts w:ascii="Times New Roman" w:hAnsi="Times New Roman"/>
          <w:sz w:val="22"/>
        </w:rPr>
        <w:t>f</w:t>
      </w:r>
      <w:r w:rsidR="002456F1" w:rsidRPr="00E82463">
        <w:rPr>
          <w:rFonts w:ascii="Times New Roman" w:hAnsi="Times New Roman"/>
          <w:sz w:val="22"/>
        </w:rPr>
        <w:t>inancial</w:t>
      </w:r>
      <w:r w:rsidR="002456F1" w:rsidRPr="004002E5">
        <w:rPr>
          <w:rFonts w:ascii="Times New Roman" w:hAnsi="Times New Roman"/>
          <w:sz w:val="22"/>
        </w:rPr>
        <w:t xml:space="preserve">evaluation process is to identify the tenderer </w:t>
      </w:r>
      <w:r w:rsidR="002456F1">
        <w:rPr>
          <w:rFonts w:ascii="Times New Roman" w:hAnsi="Times New Roman"/>
          <w:sz w:val="22"/>
        </w:rPr>
        <w:t>of</w:t>
      </w:r>
      <w:r w:rsidR="002456F1" w:rsidRPr="004002E5">
        <w:rPr>
          <w:rFonts w:ascii="Times New Roman" w:hAnsi="Times New Roman"/>
          <w:sz w:val="22"/>
        </w:rPr>
        <w:t>f</w:t>
      </w:r>
      <w:r w:rsidR="002456F1">
        <w:rPr>
          <w:rFonts w:ascii="Times New Roman" w:hAnsi="Times New Roman"/>
          <w:sz w:val="22"/>
        </w:rPr>
        <w:t>e</w:t>
      </w:r>
      <w:r w:rsidR="002456F1" w:rsidRPr="004002E5">
        <w:rPr>
          <w:rFonts w:ascii="Times New Roman" w:hAnsi="Times New Roman"/>
          <w:sz w:val="22"/>
        </w:rPr>
        <w:t>r</w:t>
      </w:r>
      <w:r w:rsidR="002456F1">
        <w:rPr>
          <w:rFonts w:ascii="Times New Roman" w:hAnsi="Times New Roman"/>
          <w:sz w:val="22"/>
        </w:rPr>
        <w:t>ing</w:t>
      </w:r>
      <w:r w:rsidR="002456F1" w:rsidRPr="004002E5">
        <w:rPr>
          <w:rFonts w:ascii="Times New Roman" w:hAnsi="Times New Roman"/>
          <w:sz w:val="22"/>
        </w:rPr>
        <w:t xml:space="preserve"> the lowest </w:t>
      </w:r>
      <w:r w:rsidR="002456F1">
        <w:rPr>
          <w:rFonts w:ascii="Times New Roman" w:hAnsi="Times New Roman"/>
          <w:sz w:val="22"/>
        </w:rPr>
        <w:t>price</w:t>
      </w:r>
      <w:r w:rsidR="002456F1" w:rsidRPr="004002E5">
        <w:rPr>
          <w:rFonts w:ascii="Times New Roman" w:hAnsi="Times New Roman"/>
          <w:sz w:val="22"/>
        </w:rPr>
        <w:t xml:space="preserve">. </w:t>
      </w:r>
      <w:r w:rsidR="002456F1">
        <w:rPr>
          <w:rFonts w:ascii="Times New Roman" w:hAnsi="Times New Roman"/>
          <w:sz w:val="22"/>
        </w:rPr>
        <w:t xml:space="preserve">Where specified in </w:t>
      </w:r>
      <w:r w:rsidR="002456F1" w:rsidRPr="004002E5">
        <w:rPr>
          <w:rFonts w:ascii="Times New Roman" w:hAnsi="Times New Roman"/>
          <w:sz w:val="22"/>
        </w:rPr>
        <w:t>the technical specifications</w:t>
      </w:r>
      <w:r w:rsidR="002456F1">
        <w:rPr>
          <w:rFonts w:ascii="Times New Roman" w:hAnsi="Times New Roman"/>
          <w:sz w:val="22"/>
        </w:rPr>
        <w:t>, t</w:t>
      </w:r>
      <w:r w:rsidR="002456F1" w:rsidRPr="004002E5">
        <w:rPr>
          <w:rFonts w:ascii="Times New Roman" w:hAnsi="Times New Roman"/>
          <w:sz w:val="22"/>
        </w:rPr>
        <w:t xml:space="preserve">he evaluation of tenders may take into account not only the </w:t>
      </w:r>
      <w:r w:rsidR="002456F1">
        <w:rPr>
          <w:rFonts w:ascii="Times New Roman" w:hAnsi="Times New Roman"/>
          <w:sz w:val="22"/>
        </w:rPr>
        <w:t>a</w:t>
      </w:r>
      <w:r w:rsidR="002456F1" w:rsidRPr="004002E5">
        <w:rPr>
          <w:rFonts w:ascii="Times New Roman" w:hAnsi="Times New Roman"/>
          <w:sz w:val="22"/>
        </w:rPr>
        <w:t>c</w:t>
      </w:r>
      <w:r w:rsidR="002456F1">
        <w:rPr>
          <w:rFonts w:ascii="Times New Roman" w:hAnsi="Times New Roman"/>
          <w:sz w:val="22"/>
        </w:rPr>
        <w:t>quisition</w:t>
      </w:r>
      <w:r w:rsidR="002456F1" w:rsidRPr="004002E5">
        <w:rPr>
          <w:rFonts w:ascii="Times New Roman" w:hAnsi="Times New Roman"/>
          <w:sz w:val="22"/>
        </w:rPr>
        <w:t xml:space="preserve"> costs but, </w:t>
      </w:r>
      <w:r w:rsidR="002456F1" w:rsidRPr="00D73E36">
        <w:rPr>
          <w:rFonts w:ascii="Times New Roman" w:hAnsi="Times New Roman"/>
          <w:sz w:val="22"/>
        </w:rPr>
        <w:t>to the extent relevant</w:t>
      </w:r>
      <w:r w:rsidR="002456F1" w:rsidRPr="004002E5">
        <w:rPr>
          <w:rFonts w:ascii="Times New Roman" w:hAnsi="Times New Roman"/>
          <w:sz w:val="22"/>
        </w:rPr>
        <w:t xml:space="preserve">, </w:t>
      </w:r>
      <w:r w:rsidR="002456F1" w:rsidRPr="00D73E36">
        <w:rPr>
          <w:rFonts w:ascii="Times New Roman" w:hAnsi="Times New Roman"/>
          <w:sz w:val="22"/>
        </w:rPr>
        <w:t xml:space="preserve">costs borne over the life cycle of the supplies (such as for instance maintenance costs </w:t>
      </w:r>
      <w:r w:rsidR="002456F1" w:rsidRPr="004002E5">
        <w:rPr>
          <w:rFonts w:ascii="Times New Roman" w:hAnsi="Times New Roman"/>
          <w:sz w:val="22"/>
        </w:rPr>
        <w:t xml:space="preserve">and operating costs), in line with the technical specifications. </w:t>
      </w:r>
      <w:r w:rsidR="002456F1">
        <w:rPr>
          <w:rFonts w:ascii="Times New Roman" w:hAnsi="Times New Roman"/>
          <w:sz w:val="22"/>
        </w:rPr>
        <w:t>In such case, t</w:t>
      </w:r>
      <w:r w:rsidR="002456F1" w:rsidRPr="004002E5">
        <w:rPr>
          <w:rFonts w:ascii="Times New Roman" w:hAnsi="Times New Roman"/>
          <w:sz w:val="22"/>
        </w:rPr>
        <w:t xml:space="preserve">he </w:t>
      </w:r>
      <w:r w:rsidR="00DD6678">
        <w:rPr>
          <w:rFonts w:ascii="Times New Roman" w:hAnsi="Times New Roman"/>
          <w:sz w:val="22"/>
        </w:rPr>
        <w:t>c</w:t>
      </w:r>
      <w:r w:rsidR="002456F1" w:rsidRPr="004002E5">
        <w:rPr>
          <w:rFonts w:ascii="Times New Roman" w:hAnsi="Times New Roman"/>
          <w:sz w:val="22"/>
        </w:rPr>
        <w:t xml:space="preserve">ontracting </w:t>
      </w:r>
      <w:r w:rsidR="00DD6678">
        <w:rPr>
          <w:rFonts w:ascii="Times New Roman" w:hAnsi="Times New Roman"/>
          <w:sz w:val="22"/>
        </w:rPr>
        <w:t>a</w:t>
      </w:r>
      <w:r w:rsidR="002456F1"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002456F1" w:rsidRPr="009C1AB9">
        <w:rPr>
          <w:rFonts w:ascii="Times New Roman" w:hAnsi="Times New Roman"/>
          <w:sz w:val="22"/>
        </w:rPr>
        <w:t>.</w:t>
      </w:r>
    </w:p>
    <w:p w:rsidR="0047783A" w:rsidRPr="00E82463" w:rsidRDefault="0047783A" w:rsidP="00462394">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47783A" w:rsidRPr="00E82463" w:rsidRDefault="0047783A" w:rsidP="00FC6A15">
      <w:pPr>
        <w:ind w:left="567"/>
        <w:jc w:val="both"/>
      </w:pPr>
      <w:r w:rsidRPr="00FC6A15">
        <w:rPr>
          <w:rFonts w:ascii="Times New Roman" w:hAnsi="Times New Roman"/>
          <w:sz w:val="22"/>
        </w:rPr>
        <w:t>Variant solutions will not be taken into consideration.</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rsidR="0047783A" w:rsidRPr="00E82463" w:rsidRDefault="0047783A" w:rsidP="0047783A">
      <w:pPr>
        <w:ind w:left="567" w:firstLine="11"/>
        <w:jc w:val="both"/>
        <w:outlineLvl w:val="0"/>
        <w:rPr>
          <w:rFonts w:ascii="Times New Roman" w:hAnsi="Times New Roman"/>
        </w:rPr>
      </w:pPr>
      <w:r w:rsidRPr="00107EA1">
        <w:rPr>
          <w:rFonts w:ascii="Times New Roman" w:hAnsi="Times New Roman"/>
          <w:sz w:val="22"/>
        </w:rPr>
        <w:t>The sole award criterion will be the price. The contract will be awarded to the lowest compliant tender.</w:t>
      </w:r>
    </w:p>
    <w:p w:rsidR="0048742A" w:rsidRPr="0038251B" w:rsidRDefault="004F7E7A" w:rsidP="00D45256">
      <w:pPr>
        <w:pStyle w:val="Heading2"/>
        <w:ind w:left="567" w:hanging="567"/>
        <w:jc w:val="both"/>
        <w:rPr>
          <w:rFonts w:ascii="Times New Roman" w:hAnsi="Times New Roman"/>
          <w:sz w:val="22"/>
          <w:szCs w:val="22"/>
          <w:lang w:val="en-IE"/>
        </w:rPr>
      </w:pPr>
      <w:r w:rsidRPr="00D45256">
        <w:rPr>
          <w:rFonts w:ascii="Times New Roman" w:hAnsi="Times New Roman"/>
          <w:sz w:val="22"/>
          <w:szCs w:val="22"/>
          <w:lang w:val="en-IE"/>
        </w:rPr>
        <w:t>20.7</w:t>
      </w:r>
      <w:r w:rsidR="00462394" w:rsidRPr="00D45256">
        <w:rPr>
          <w:rFonts w:ascii="Times New Roman" w:hAnsi="Times New Roman"/>
          <w:sz w:val="22"/>
          <w:szCs w:val="22"/>
          <w:lang w:val="en-IE"/>
        </w:rPr>
        <w:tab/>
      </w:r>
      <w:r w:rsidR="0048742A" w:rsidRPr="00D45256">
        <w:rPr>
          <w:rFonts w:ascii="Times New Roman" w:hAnsi="Times New Roman"/>
          <w:sz w:val="22"/>
          <w:szCs w:val="22"/>
          <w:lang w:val="en-IE"/>
        </w:rPr>
        <w:t>Documentary evidence for exclusion and selection c</w:t>
      </w:r>
      <w:r w:rsidR="0048742A" w:rsidRPr="0038251B">
        <w:rPr>
          <w:rFonts w:ascii="Times New Roman" w:hAnsi="Times New Roman"/>
          <w:sz w:val="22"/>
          <w:szCs w:val="22"/>
          <w:lang w:val="en-IE"/>
        </w:rPr>
        <w:t>riteria</w:t>
      </w:r>
    </w:p>
    <w:p w:rsidR="001719EB" w:rsidRPr="0038251B" w:rsidRDefault="0048742A" w:rsidP="00D45256">
      <w:pPr>
        <w:ind w:left="567"/>
        <w:jc w:val="both"/>
        <w:rPr>
          <w:rFonts w:ascii="Times New Roman" w:hAnsi="Times New Roman"/>
          <w:color w:val="000000"/>
          <w:sz w:val="22"/>
          <w:szCs w:val="22"/>
          <w:lang w:val="en-IE"/>
        </w:rPr>
      </w:pPr>
      <w:r w:rsidRPr="0038251B">
        <w:rPr>
          <w:rFonts w:ascii="Times New Roman" w:hAnsi="Times New Roman"/>
          <w:sz w:val="22"/>
          <w:szCs w:val="22"/>
          <w:lang w:val="en-IE"/>
        </w:rPr>
        <w:t>At any time during the procurement procedure and before the award of the contract, the contracting authority may request documentary evidence on compliance with the exclusion criteria and selection criteria</w:t>
      </w:r>
      <w:r w:rsidR="00124409" w:rsidRPr="0038251B">
        <w:rPr>
          <w:rFonts w:ascii="Times New Roman" w:hAnsi="Times New Roman"/>
          <w:sz w:val="22"/>
          <w:szCs w:val="22"/>
          <w:lang w:val="en-IE"/>
        </w:rPr>
        <w:t xml:space="preserve"> (</w:t>
      </w:r>
      <w:r w:rsidR="00124409" w:rsidRPr="0038251B">
        <w:rPr>
          <w:rFonts w:ascii="Times New Roman" w:hAnsi="Times New Roman"/>
          <w:sz w:val="22"/>
          <w:szCs w:val="22"/>
        </w:rPr>
        <w:t>financial, economic, technical and professional capacity)</w:t>
      </w:r>
      <w:r w:rsidRPr="0038251B">
        <w:rPr>
          <w:rFonts w:ascii="Times New Roman" w:hAnsi="Times New Roman"/>
          <w:sz w:val="22"/>
          <w:szCs w:val="22"/>
          <w:lang w:val="en-IE"/>
        </w:rPr>
        <w:t xml:space="preserve"> set out in these instructions. Please note that a request for evidence in no way implies that the tenderer has been successful. </w:t>
      </w:r>
      <w:r w:rsidRPr="0038251B">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Pr="0038251B">
        <w:rPr>
          <w:rFonts w:ascii="Times New Roman" w:hAnsi="Times New Roman"/>
          <w:sz w:val="22"/>
          <w:szCs w:val="22"/>
          <w:lang w:val="en-IE"/>
        </w:rPr>
        <w:t>. In any event</w:t>
      </w:r>
      <w:r w:rsidR="00ED0949" w:rsidRPr="0038251B">
        <w:rPr>
          <w:rFonts w:ascii="Times New Roman" w:hAnsi="Times New Roman"/>
          <w:sz w:val="22"/>
          <w:szCs w:val="22"/>
          <w:lang w:val="en-IE"/>
        </w:rPr>
        <w:t>,</w:t>
      </w:r>
      <w:r w:rsidRPr="0038251B">
        <w:rPr>
          <w:rFonts w:ascii="Times New Roman" w:hAnsi="Times New Roman"/>
          <w:sz w:val="22"/>
          <w:szCs w:val="22"/>
          <w:lang w:val="en-IE"/>
        </w:rPr>
        <w:t xml:space="preserve"> the tenderer proposed by the evaluation committee for the award of the contract, will be requested to provide such evidence at short notice. </w:t>
      </w:r>
    </w:p>
    <w:p w:rsidR="0048742A" w:rsidRPr="0038251B" w:rsidRDefault="0048742A" w:rsidP="00D45256">
      <w:pPr>
        <w:ind w:left="567"/>
        <w:jc w:val="both"/>
        <w:rPr>
          <w:rFonts w:ascii="Times New Roman" w:hAnsi="Times New Roman"/>
          <w:sz w:val="22"/>
          <w:szCs w:val="22"/>
        </w:rPr>
      </w:pPr>
      <w:r w:rsidRPr="0038251B">
        <w:rPr>
          <w:rFonts w:ascii="Times New Roman" w:hAnsi="Times New Roman"/>
          <w:sz w:val="22"/>
          <w:szCs w:val="22"/>
        </w:rPr>
        <w:t>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w:t>
      </w:r>
      <w:r w:rsidR="00037C20" w:rsidRPr="0038251B">
        <w:rPr>
          <w:rFonts w:ascii="Times New Roman" w:hAnsi="Times New Roman"/>
          <w:sz w:val="22"/>
          <w:szCs w:val="22"/>
        </w:rPr>
        <w:t>4.2</w:t>
      </w:r>
      <w:r w:rsidRPr="0038251B">
        <w:rPr>
          <w:rFonts w:ascii="Times New Roman" w:hAnsi="Times New Roman"/>
          <w:sz w:val="22"/>
          <w:szCs w:val="22"/>
        </w:rPr>
        <w:t xml:space="preserve"> of the practical guide. </w:t>
      </w:r>
    </w:p>
    <w:p w:rsidR="00820AEF" w:rsidRPr="0038251B" w:rsidRDefault="00820AEF" w:rsidP="00D45256">
      <w:pPr>
        <w:ind w:left="567"/>
        <w:jc w:val="both"/>
        <w:rPr>
          <w:rFonts w:ascii="Times New Roman" w:hAnsi="Times New Roman"/>
          <w:b/>
          <w:i/>
          <w:iCs/>
          <w:sz w:val="22"/>
          <w:szCs w:val="22"/>
          <w:u w:val="single"/>
        </w:rPr>
      </w:pPr>
      <w:r w:rsidRPr="0038251B">
        <w:rPr>
          <w:rFonts w:ascii="Times New Roman" w:hAnsi="Times New Roman"/>
          <w:sz w:val="22"/>
          <w:szCs w:val="22"/>
        </w:rPr>
        <w:t xml:space="preserve">At any time during the procurement procedure, </w:t>
      </w:r>
      <w:bookmarkStart w:id="30" w:name="_Hlk138949784"/>
      <w:r w:rsidRPr="0038251B">
        <w:rPr>
          <w:rFonts w:ascii="Times New Roman" w:hAnsi="Times New Roman"/>
          <w:sz w:val="22"/>
          <w:szCs w:val="22"/>
        </w:rPr>
        <w:t xml:space="preserve">the contracting authority may request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w:t>
      </w:r>
      <w:r w:rsidR="009C0688" w:rsidRPr="0038251B">
        <w:rPr>
          <w:rFonts w:ascii="Times New Roman" w:hAnsi="Times New Roman"/>
          <w:sz w:val="22"/>
          <w:szCs w:val="22"/>
        </w:rPr>
        <w:t>t</w:t>
      </w:r>
      <w:r w:rsidRPr="0038251B">
        <w:rPr>
          <w:rFonts w:ascii="Times New Roman" w:hAnsi="Times New Roman"/>
          <w:sz w:val="22"/>
          <w:szCs w:val="22"/>
        </w:rPr>
        <w:t>he Declaration on Honour.</w:t>
      </w:r>
      <w:bookmarkEnd w:id="30"/>
    </w:p>
    <w:p w:rsidR="0048742A" w:rsidRPr="0038251B" w:rsidRDefault="0048742A" w:rsidP="00D45256">
      <w:pPr>
        <w:ind w:left="567"/>
        <w:jc w:val="both"/>
        <w:outlineLvl w:val="0"/>
        <w:rPr>
          <w:rFonts w:ascii="Times New Roman" w:hAnsi="Times New Roman"/>
          <w:sz w:val="22"/>
          <w:szCs w:val="22"/>
          <w:lang w:val="en-IE"/>
        </w:rPr>
      </w:pPr>
      <w:r w:rsidRPr="0038251B">
        <w:rPr>
          <w:rFonts w:ascii="Times New Roman" w:hAnsi="Times New Roman"/>
          <w:sz w:val="22"/>
          <w:szCs w:val="22"/>
          <w:lang w:val="en-IE"/>
        </w:rPr>
        <w:t xml:space="preserve">This evidence, documents or statements must be dated, no more than one year before the date of submission of the tender. </w:t>
      </w:r>
    </w:p>
    <w:p w:rsidR="00124409" w:rsidRPr="0038251B" w:rsidRDefault="00124409" w:rsidP="00D45256">
      <w:pPr>
        <w:ind w:left="567"/>
        <w:jc w:val="both"/>
        <w:rPr>
          <w:rFonts w:ascii="Times New Roman" w:hAnsi="Times New Roman"/>
          <w:sz w:val="22"/>
          <w:szCs w:val="22"/>
        </w:rPr>
      </w:pPr>
      <w:r w:rsidRPr="0038251B">
        <w:rPr>
          <w:rFonts w:ascii="Times New Roman" w:hAnsi="Times New Roman"/>
          <w:sz w:val="22"/>
          <w:szCs w:val="22"/>
        </w:rPr>
        <w:t>The above-mentioned docume</w:t>
      </w:r>
      <w:r w:rsidR="00531CAA" w:rsidRPr="0038251B">
        <w:rPr>
          <w:rFonts w:ascii="Times New Roman" w:hAnsi="Times New Roman"/>
          <w:sz w:val="22"/>
          <w:szCs w:val="22"/>
        </w:rPr>
        <w:t xml:space="preserve">nts must be submitted for </w:t>
      </w:r>
      <w:r w:rsidRPr="0038251B">
        <w:rPr>
          <w:rFonts w:ascii="Times New Roman" w:hAnsi="Times New Roman"/>
          <w:sz w:val="22"/>
          <w:szCs w:val="22"/>
        </w:rPr>
        <w:t>every member of a joint venture/consortium, all subcontractors and every capacity providing entit</w:t>
      </w:r>
      <w:r w:rsidR="00531CAA" w:rsidRPr="0038251B">
        <w:rPr>
          <w:rFonts w:ascii="Times New Roman" w:hAnsi="Times New Roman"/>
          <w:sz w:val="22"/>
          <w:szCs w:val="22"/>
        </w:rPr>
        <w:t>y</w:t>
      </w:r>
      <w:r w:rsidRPr="0038251B">
        <w:rPr>
          <w:rFonts w:ascii="Times New Roman" w:hAnsi="Times New Roman"/>
          <w:sz w:val="22"/>
          <w:szCs w:val="22"/>
        </w:rPr>
        <w:t xml:space="preserve">. </w:t>
      </w:r>
    </w:p>
    <w:p w:rsidR="0048742A" w:rsidRPr="0038251B" w:rsidRDefault="0048742A" w:rsidP="00D45256">
      <w:pPr>
        <w:ind w:left="567"/>
        <w:jc w:val="both"/>
        <w:outlineLvl w:val="0"/>
        <w:rPr>
          <w:rFonts w:ascii="Times New Roman" w:hAnsi="Times New Roman"/>
          <w:sz w:val="22"/>
          <w:szCs w:val="22"/>
          <w:lang w:val="en-IE"/>
        </w:rPr>
      </w:pPr>
      <w:r w:rsidRPr="0038251B">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rsidR="0048742A" w:rsidRPr="0038251B" w:rsidRDefault="0048742A" w:rsidP="00D45256">
      <w:pPr>
        <w:ind w:left="567"/>
        <w:jc w:val="both"/>
        <w:outlineLvl w:val="0"/>
        <w:rPr>
          <w:rFonts w:ascii="Times New Roman" w:hAnsi="Times New Roman"/>
          <w:sz w:val="22"/>
          <w:szCs w:val="22"/>
          <w:lang w:val="en-IE"/>
        </w:rPr>
      </w:pPr>
      <w:r w:rsidRPr="0038251B">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rsidR="0048742A" w:rsidRPr="0038251B" w:rsidRDefault="0048742A" w:rsidP="00D45256">
      <w:pPr>
        <w:ind w:left="567"/>
        <w:jc w:val="both"/>
        <w:outlineLvl w:val="0"/>
        <w:rPr>
          <w:rFonts w:ascii="Times New Roman" w:hAnsi="Times New Roman"/>
          <w:sz w:val="22"/>
          <w:szCs w:val="22"/>
          <w:lang w:val="en-IE"/>
        </w:rPr>
      </w:pPr>
      <w:r w:rsidRPr="0038251B">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rsidR="0048742A" w:rsidRPr="009956B4" w:rsidRDefault="0048742A" w:rsidP="00D45256">
      <w:pPr>
        <w:ind w:left="567"/>
        <w:jc w:val="both"/>
        <w:rPr>
          <w:rFonts w:ascii="Times New Roman" w:hAnsi="Times New Roman"/>
          <w:sz w:val="22"/>
          <w:szCs w:val="22"/>
        </w:rPr>
      </w:pPr>
      <w:r w:rsidRPr="0038251B">
        <w:rPr>
          <w:rFonts w:ascii="Times New Roman" w:hAnsi="Times New Roman"/>
          <w:sz w:val="22"/>
          <w:szCs w:val="22"/>
        </w:rPr>
        <w:t xml:space="preserve">If the successful tenderer fails to provide this documentary proof or statement or if the successful tenderer is found to have provided </w:t>
      </w:r>
      <w:r w:rsidR="002441E8" w:rsidRPr="0038251B">
        <w:rPr>
          <w:rFonts w:ascii="Times New Roman" w:hAnsi="Times New Roman"/>
          <w:sz w:val="22"/>
          <w:szCs w:val="22"/>
        </w:rPr>
        <w:t xml:space="preserve">misrepresented </w:t>
      </w:r>
      <w:r w:rsidRPr="0038251B">
        <w:rPr>
          <w:rFonts w:ascii="Times New Roman" w:hAnsi="Times New Roman"/>
          <w:sz w:val="22"/>
          <w:szCs w:val="22"/>
        </w:rPr>
        <w:t>information, the award will be considered null and void. In this case, the contracting authority may award the tender to the next lowest tenderer or cancel the tender procedure.</w:t>
      </w:r>
    </w:p>
    <w:p w:rsidR="00EA1ADC" w:rsidRDefault="00EA1ADC" w:rsidP="00D45256">
      <w:pPr>
        <w:ind w:left="567" w:hanging="567"/>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rsidR="0047783A" w:rsidRPr="00D45256" w:rsidRDefault="00EA1ADC" w:rsidP="00D45256">
      <w:pPr>
        <w:pStyle w:val="Heading1"/>
        <w:rPr>
          <w:lang w:val="en-IE"/>
        </w:rPr>
      </w:pPr>
      <w:bookmarkStart w:id="31" w:name="_Toc41467298"/>
      <w:bookmarkStart w:id="32" w:name="_Toc42488090"/>
      <w:r w:rsidRPr="00D45256">
        <w:rPr>
          <w:lang w:val="en-IE"/>
        </w:rPr>
        <w:t>22.</w:t>
      </w:r>
      <w:r w:rsidRPr="00D45256">
        <w:rPr>
          <w:lang w:val="en-IE"/>
        </w:rPr>
        <w:tab/>
      </w:r>
      <w:r w:rsidR="0047783A" w:rsidRPr="00D45256">
        <w:rPr>
          <w:lang w:val="en-IE"/>
        </w:rPr>
        <w:t>Signature of the contract and performance guarantee</w:t>
      </w:r>
      <w:bookmarkStart w:id="33" w:name="_Ref500418776"/>
      <w:bookmarkEnd w:id="31"/>
      <w:bookmarkEnd w:id="32"/>
    </w:p>
    <w:p w:rsidR="0047783A" w:rsidRPr="00E07D2A" w:rsidRDefault="0047783A" w:rsidP="0047783A">
      <w:pPr>
        <w:ind w:left="567" w:hanging="567"/>
        <w:jc w:val="both"/>
        <w:outlineLvl w:val="0"/>
        <w:rPr>
          <w:rFonts w:ascii="Times New Roman" w:hAnsi="Times New Roman"/>
          <w:sz w:val="22"/>
        </w:rPr>
      </w:pPr>
      <w:r w:rsidRPr="00462394">
        <w:rPr>
          <w:rFonts w:ascii="Times New Roman" w:hAnsi="Times New Roman"/>
          <w:sz w:val="22"/>
          <w:szCs w:val="22"/>
        </w:rPr>
        <w:t>2</w:t>
      </w:r>
      <w:r w:rsidR="00EA1ADC" w:rsidRPr="00462394">
        <w:rPr>
          <w:rFonts w:ascii="Times New Roman" w:hAnsi="Times New Roman"/>
          <w:sz w:val="22"/>
          <w:szCs w:val="22"/>
        </w:rPr>
        <w:t>2.</w:t>
      </w:r>
      <w:r w:rsidR="00032EDE" w:rsidRPr="00D45256">
        <w:rPr>
          <w:rFonts w:ascii="Times New Roman" w:hAnsi="Times New Roman"/>
          <w:sz w:val="22"/>
          <w:szCs w:val="22"/>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inthe tender</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 xml:space="preserve">by more than </w:t>
      </w:r>
      <w:r w:rsidR="00C21CF2">
        <w:rPr>
          <w:rFonts w:ascii="Times New Roman" w:hAnsi="Times New Roman"/>
          <w:sz w:val="22"/>
          <w:szCs w:val="22"/>
        </w:rPr>
        <w:t>10</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rsidR="0047783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the </w:t>
      </w:r>
      <w:r w:rsidR="00716419">
        <w:rPr>
          <w:rFonts w:ascii="Times New Roman" w:hAnsi="Times New Roman"/>
          <w:sz w:val="22"/>
          <w:lang w:val="en-GB"/>
        </w:rPr>
        <w:t xml:space="preserve">other party </w:t>
      </w:r>
      <w:r w:rsidRPr="00E07D2A">
        <w:rPr>
          <w:rFonts w:ascii="Times New Roman" w:hAnsi="Times New Roman"/>
          <w:sz w:val="22"/>
          <w:lang w:val="en-GB"/>
        </w:rPr>
        <w:t xml:space="preserve">must </w:t>
      </w:r>
      <w:r w:rsidR="00716419">
        <w:rPr>
          <w:rFonts w:ascii="Times New Roman" w:hAnsi="Times New Roman"/>
          <w:sz w:val="22"/>
          <w:lang w:val="en-GB"/>
        </w:rPr>
        <w:t>counter</w:t>
      </w:r>
      <w:r w:rsidRPr="00E07D2A">
        <w:rPr>
          <w:rFonts w:ascii="Times New Roman" w:hAnsi="Times New Roman"/>
          <w:sz w:val="22"/>
          <w:lang w:val="en-GB"/>
        </w:rPr>
        <w:t>sign and date the contract and return it</w:t>
      </w:r>
      <w:r w:rsidR="00716419">
        <w:rPr>
          <w:rFonts w:ascii="Times New Roman" w:hAnsi="Times New Roman"/>
          <w:sz w:val="22"/>
          <w:lang w:val="en-GB"/>
        </w:rPr>
        <w:t>. If applicable</w:t>
      </w:r>
      <w:r w:rsidR="00EB560F">
        <w:rPr>
          <w:rFonts w:ascii="Times New Roman" w:hAnsi="Times New Roman"/>
          <w:sz w:val="22"/>
          <w:lang w:val="en-GB"/>
        </w:rPr>
        <w:t>,</w:t>
      </w:r>
      <w:r w:rsidRPr="00E07D2A">
        <w:rPr>
          <w:rFonts w:ascii="Times New Roman" w:hAnsi="Times New Roman"/>
          <w:sz w:val="22"/>
          <w:lang w:val="en-GB"/>
        </w:rPr>
        <w:t xml:space="preserve"> the</w:t>
      </w:r>
      <w:r w:rsidR="001E4A7B">
        <w:rPr>
          <w:rFonts w:ascii="Times New Roman" w:hAnsi="Times New Roman"/>
          <w:sz w:val="22"/>
          <w:lang w:val="en-GB"/>
        </w:rPr>
        <w:t xml:space="preserve"> contractor shall together with the return of the countersigned contract, </w:t>
      </w:r>
      <w:r w:rsidR="00D37459">
        <w:rPr>
          <w:rFonts w:ascii="Times New Roman" w:hAnsi="Times New Roman"/>
          <w:sz w:val="22"/>
          <w:lang w:val="en-GB"/>
        </w:rPr>
        <w:t xml:space="preserve">submit </w:t>
      </w:r>
      <w:r w:rsidR="001E4A7B">
        <w:rPr>
          <w:rFonts w:ascii="Times New Roman" w:hAnsi="Times New Roman"/>
          <w:sz w:val="22"/>
          <w:lang w:val="en-GB"/>
        </w:rPr>
        <w:t>to the contracting authority a</w:t>
      </w:r>
      <w:r w:rsidRPr="00E07D2A">
        <w:rPr>
          <w:rFonts w:ascii="Times New Roman" w:hAnsi="Times New Roman"/>
          <w:sz w:val="22"/>
          <w:lang w:val="en-GB"/>
        </w:rPr>
        <w:t xml:space="preserve"> performance guarantee.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p w:rsidR="00506A24" w:rsidRPr="00D45256" w:rsidRDefault="00E932EE" w:rsidP="00D45256">
      <w:pPr>
        <w:widowControl w:val="0"/>
        <w:tabs>
          <w:tab w:val="num" w:pos="567"/>
        </w:tabs>
        <w:spacing w:before="100" w:after="100"/>
        <w:ind w:left="567"/>
        <w:jc w:val="both"/>
        <w:rPr>
          <w:rFonts w:ascii="Times New Roman" w:hAnsi="Times New Roman"/>
          <w:sz w:val="22"/>
          <w:szCs w:val="22"/>
        </w:rPr>
      </w:pPr>
      <w:r>
        <w:rPr>
          <w:rFonts w:ascii="Times New Roman" w:hAnsi="Times New Roman"/>
          <w:snapToGrid/>
          <w:sz w:val="22"/>
          <w:szCs w:val="22"/>
          <w:lang w:eastAsia="en-GB"/>
        </w:rPr>
        <w:t>I</w:t>
      </w:r>
      <w:r w:rsidR="00506A24" w:rsidRPr="00506A24">
        <w:rPr>
          <w:rFonts w:ascii="Times New Roman" w:hAnsi="Times New Roman"/>
          <w:snapToGrid/>
          <w:sz w:val="22"/>
          <w:szCs w:val="22"/>
          <w:lang w:eastAsia="en-GB"/>
        </w:rPr>
        <w:t>f a tenderer to whom the contract is awarded (any of the group members in case of a consortium) has established debt(s) owed to the Union, the European Atomic Energy Community or an executive agency when the latter implements the Union budget, such debt(s) may be offset, in line with Articles 101(1) and 102 the Financial Regulation and the conditions set out in the draft contract, against any payment due underthe contract. The contracting authority will verify the existence of overdue debts of the successful tenderer[s] (any of the group members in case of a consortium), and, if any such debt is found, will inform the tenderer (the leader in case of a consortium who will then have the obligation to inform all other group members before signing the contract) that the debt(s) may be offset against any payment under due the contract.</w:t>
      </w:r>
    </w:p>
    <w:bookmarkEnd w:id="33"/>
    <w:p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rsidR="00462394" w:rsidRPr="00D45256" w:rsidRDefault="0047783A" w:rsidP="00D45256">
      <w:pPr>
        <w:pStyle w:val="Heading2"/>
        <w:keepNext w:val="0"/>
        <w:ind w:left="567" w:hanging="567"/>
        <w:jc w:val="both"/>
        <w:rPr>
          <w:rFonts w:ascii="Times New Roman" w:hAnsi="Times New Roman"/>
          <w:sz w:val="22"/>
          <w:szCs w:val="22"/>
          <w:lang w:val="en-IE"/>
        </w:rPr>
      </w:pPr>
      <w:r w:rsidRPr="00D45256">
        <w:rPr>
          <w:rFonts w:ascii="Times New Roman" w:hAnsi="Times New Roman"/>
          <w:sz w:val="22"/>
          <w:szCs w:val="22"/>
          <w:lang w:val="en-GB"/>
        </w:rPr>
        <w:t>2</w:t>
      </w:r>
      <w:r w:rsidR="00EA1ADC" w:rsidRPr="00D45256">
        <w:rPr>
          <w:rFonts w:ascii="Times New Roman" w:hAnsi="Times New Roman"/>
          <w:sz w:val="22"/>
          <w:szCs w:val="22"/>
          <w:lang w:val="en-GB"/>
        </w:rPr>
        <w:t>2</w:t>
      </w:r>
      <w:r w:rsidRPr="00D45256">
        <w:rPr>
          <w:rFonts w:ascii="Times New Roman" w:hAnsi="Times New Roman"/>
          <w:sz w:val="22"/>
          <w:szCs w:val="22"/>
          <w:lang w:val="en-GB"/>
        </w:rPr>
        <w:t>.</w:t>
      </w:r>
      <w:r w:rsidR="00032EDE" w:rsidRPr="00D45256">
        <w:rPr>
          <w:rFonts w:ascii="Times New Roman" w:hAnsi="Times New Roman"/>
          <w:sz w:val="22"/>
          <w:szCs w:val="22"/>
          <w:lang w:val="en-GB"/>
        </w:rPr>
        <w:t>4</w:t>
      </w:r>
      <w:r w:rsidRPr="00D45256">
        <w:rPr>
          <w:rFonts w:ascii="Times New Roman" w:hAnsi="Times New Roman"/>
          <w:sz w:val="22"/>
          <w:szCs w:val="22"/>
          <w:lang w:val="en-GB"/>
        </w:rPr>
        <w:tab/>
        <w:t xml:space="preserve">The performance guarantee referred to in the </w:t>
      </w:r>
      <w:r w:rsidR="000D5F1B" w:rsidRPr="00D45256">
        <w:rPr>
          <w:rFonts w:ascii="Times New Roman" w:hAnsi="Times New Roman"/>
          <w:sz w:val="22"/>
          <w:szCs w:val="22"/>
          <w:lang w:val="en-GB"/>
        </w:rPr>
        <w:t>g</w:t>
      </w:r>
      <w:r w:rsidRPr="00D45256">
        <w:rPr>
          <w:rFonts w:ascii="Times New Roman" w:hAnsi="Times New Roman"/>
          <w:sz w:val="22"/>
          <w:szCs w:val="22"/>
          <w:lang w:val="en-GB"/>
        </w:rPr>
        <w:t xml:space="preserve">eneral </w:t>
      </w:r>
      <w:r w:rsidR="000D5F1B" w:rsidRPr="00D45256">
        <w:rPr>
          <w:rFonts w:ascii="Times New Roman" w:hAnsi="Times New Roman"/>
          <w:sz w:val="22"/>
          <w:szCs w:val="22"/>
          <w:lang w:val="en-GB"/>
        </w:rPr>
        <w:t>c</w:t>
      </w:r>
      <w:r w:rsidRPr="00D45256">
        <w:rPr>
          <w:rFonts w:ascii="Times New Roman" w:hAnsi="Times New Roman"/>
          <w:sz w:val="22"/>
          <w:szCs w:val="22"/>
          <w:lang w:val="en-GB"/>
        </w:rPr>
        <w:t>onditions is set at &lt;</w:t>
      </w:r>
      <w:r w:rsidR="00A11437" w:rsidRPr="00D45256">
        <w:rPr>
          <w:rFonts w:ascii="Times New Roman" w:hAnsi="Times New Roman"/>
          <w:sz w:val="22"/>
          <w:szCs w:val="22"/>
          <w:lang w:val="en-GB"/>
        </w:rPr>
        <w:t xml:space="preserve"> insert percentage between 5 and 10</w:t>
      </w:r>
      <w:r w:rsidRPr="00D45256">
        <w:rPr>
          <w:rFonts w:ascii="Times New Roman" w:hAnsi="Times New Roman"/>
          <w:sz w:val="22"/>
          <w:szCs w:val="22"/>
          <w:lang w:val="en-GB"/>
        </w:rPr>
        <w:t>&gt;</w:t>
      </w:r>
      <w:r w:rsidR="00A11437" w:rsidRPr="00D45256">
        <w:rPr>
          <w:rFonts w:ascii="Times New Roman" w:hAnsi="Times New Roman"/>
          <w:sz w:val="22"/>
          <w:szCs w:val="22"/>
          <w:lang w:val="en-GB"/>
        </w:rPr>
        <w:t>%</w:t>
      </w:r>
      <w:r w:rsidRPr="00D45256">
        <w:rPr>
          <w:rFonts w:ascii="Times New Roman" w:hAnsi="Times New Roman"/>
          <w:sz w:val="22"/>
          <w:szCs w:val="22"/>
          <w:lang w:val="en-GB"/>
        </w:rPr>
        <w:t xml:space="preserve"> of the amount of the contract</w:t>
      </w:r>
      <w:r w:rsidR="00E07D2A" w:rsidRPr="00D45256">
        <w:rPr>
          <w:rFonts w:ascii="Times New Roman" w:hAnsi="Times New Roman"/>
          <w:sz w:val="22"/>
          <w:szCs w:val="22"/>
          <w:lang w:val="en-GB"/>
        </w:rPr>
        <w:t>. The performance guarantee</w:t>
      </w:r>
      <w:r w:rsidRPr="00D45256">
        <w:rPr>
          <w:rFonts w:ascii="Times New Roman" w:hAnsi="Times New Roman"/>
          <w:sz w:val="22"/>
          <w:szCs w:val="22"/>
          <w:lang w:val="en-GB"/>
        </w:rPr>
        <w:t xml:space="preserve"> must be presented in the form specified in the annex to the tender dossier. It will be released within </w:t>
      </w:r>
      <w:r w:rsidR="007533EA" w:rsidRPr="00D45256">
        <w:rPr>
          <w:rFonts w:ascii="Times New Roman" w:hAnsi="Times New Roman"/>
          <w:sz w:val="22"/>
          <w:szCs w:val="22"/>
          <w:lang w:val="en-GB"/>
        </w:rPr>
        <w:t>60</w:t>
      </w:r>
      <w:r w:rsidRPr="00D45256">
        <w:rPr>
          <w:rFonts w:ascii="Times New Roman" w:hAnsi="Times New Roman"/>
          <w:sz w:val="22"/>
          <w:szCs w:val="22"/>
          <w:lang w:val="en-GB"/>
        </w:rPr>
        <w:t xml:space="preserve"> days of the issue of the final acceptance certificate by the </w:t>
      </w:r>
      <w:r w:rsidR="000D5F1B" w:rsidRPr="00D45256">
        <w:rPr>
          <w:rFonts w:ascii="Times New Roman" w:hAnsi="Times New Roman"/>
          <w:sz w:val="22"/>
          <w:szCs w:val="22"/>
          <w:lang w:val="en-GB"/>
        </w:rPr>
        <w:t>c</w:t>
      </w:r>
      <w:r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Pr="00D45256">
        <w:rPr>
          <w:rFonts w:ascii="Times New Roman" w:hAnsi="Times New Roman"/>
          <w:sz w:val="22"/>
          <w:szCs w:val="22"/>
          <w:lang w:val="en-GB"/>
        </w:rPr>
        <w:t>uthority, except for the proportion assigned to after-sales service.</w:t>
      </w:r>
      <w:r w:rsidR="008718AA" w:rsidRPr="00D45256">
        <w:rPr>
          <w:rFonts w:ascii="Times New Roman" w:hAnsi="Times New Roman"/>
          <w:sz w:val="22"/>
          <w:szCs w:val="22"/>
          <w:lang w:val="en-GB"/>
        </w:rPr>
        <w:t xml:space="preserve"> For contracts of </w:t>
      </w:r>
      <w:r w:rsidR="000D5F1B" w:rsidRPr="00D45256">
        <w:rPr>
          <w:rFonts w:ascii="Times New Roman" w:hAnsi="Times New Roman"/>
          <w:sz w:val="22"/>
          <w:szCs w:val="22"/>
          <w:lang w:val="en-GB"/>
        </w:rPr>
        <w:t>EUR</w:t>
      </w:r>
      <w:r w:rsidR="008718AA" w:rsidRPr="00D45256">
        <w:rPr>
          <w:rFonts w:ascii="Times New Roman" w:hAnsi="Times New Roman"/>
          <w:sz w:val="22"/>
          <w:szCs w:val="22"/>
          <w:lang w:val="en-GB"/>
        </w:rPr>
        <w:t xml:space="preserve"> 150</w:t>
      </w:r>
      <w:r w:rsidR="000D5F1B" w:rsidRPr="00D45256">
        <w:rPr>
          <w:rFonts w:ascii="Times New Roman" w:hAnsi="Times New Roman"/>
          <w:sz w:val="22"/>
          <w:szCs w:val="22"/>
          <w:lang w:val="en-GB"/>
        </w:rPr>
        <w:t> </w:t>
      </w:r>
      <w:r w:rsidR="008718AA" w:rsidRPr="00D45256">
        <w:rPr>
          <w:rFonts w:ascii="Times New Roman" w:hAnsi="Times New Roman"/>
          <w:sz w:val="22"/>
          <w:szCs w:val="22"/>
          <w:lang w:val="en-GB"/>
        </w:rPr>
        <w:t xml:space="preserve">000 or below, on the basis of objective criteria such as the type and value of the contract, the </w:t>
      </w:r>
      <w:r w:rsidR="000D5F1B" w:rsidRPr="00D45256">
        <w:rPr>
          <w:rFonts w:ascii="Times New Roman" w:hAnsi="Times New Roman"/>
          <w:sz w:val="22"/>
          <w:szCs w:val="22"/>
          <w:lang w:val="en-GB"/>
        </w:rPr>
        <w:t>c</w:t>
      </w:r>
      <w:r w:rsidR="008718AA"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008718AA" w:rsidRPr="00D45256">
        <w:rPr>
          <w:rFonts w:ascii="Times New Roman" w:hAnsi="Times New Roman"/>
          <w:sz w:val="22"/>
          <w:szCs w:val="22"/>
          <w:lang w:val="en-GB"/>
        </w:rPr>
        <w:t>uthority may decide not to require such a guarantee.</w:t>
      </w:r>
    </w:p>
    <w:p w:rsidR="0047783A" w:rsidRPr="00D45256" w:rsidRDefault="00EA1ADC" w:rsidP="00D45256">
      <w:pPr>
        <w:pStyle w:val="Heading1"/>
        <w:rPr>
          <w:lang w:val="en-IE"/>
        </w:rPr>
      </w:pPr>
      <w:bookmarkStart w:id="34" w:name="_Toc41467299"/>
      <w:bookmarkStart w:id="35" w:name="_Toc42488091"/>
      <w:r w:rsidRPr="00D45256">
        <w:rPr>
          <w:lang w:val="en-IE"/>
        </w:rPr>
        <w:t>23.</w:t>
      </w:r>
      <w:r w:rsidRPr="00D45256">
        <w:rPr>
          <w:lang w:val="en-IE"/>
        </w:rPr>
        <w:tab/>
      </w:r>
      <w:r w:rsidR="0047783A" w:rsidRPr="00D45256">
        <w:rPr>
          <w:lang w:val="en-IE"/>
        </w:rPr>
        <w:t xml:space="preserve">Tender </w:t>
      </w:r>
      <w:r w:rsidR="0047783A" w:rsidRPr="00D45256">
        <w:rPr>
          <w:lang w:val="en-GB"/>
        </w:rPr>
        <w:t>guarantee</w:t>
      </w:r>
      <w:bookmarkEnd w:id="34"/>
      <w:bookmarkEnd w:id="35"/>
    </w:p>
    <w:p w:rsidR="008718AA" w:rsidRPr="00E82463" w:rsidRDefault="00D1398A" w:rsidP="00E07D2A">
      <w:pPr>
        <w:ind w:left="567"/>
        <w:jc w:val="both"/>
        <w:outlineLvl w:val="0"/>
        <w:rPr>
          <w:rFonts w:ascii="Times New Roman" w:hAnsi="Times New Roman"/>
          <w:sz w:val="22"/>
        </w:rPr>
      </w:pPr>
      <w:r w:rsidRPr="0038251B">
        <w:rPr>
          <w:rFonts w:ascii="Times New Roman" w:hAnsi="Times New Roman"/>
          <w:sz w:val="22"/>
          <w:szCs w:val="22"/>
        </w:rPr>
        <w:t>No tender guarantee is required</w:t>
      </w:r>
      <w:r w:rsidRPr="0038251B">
        <w:rPr>
          <w:rFonts w:ascii="Times New Roman" w:hAnsi="Times New Roman"/>
        </w:rPr>
        <w:t>.</w:t>
      </w:r>
    </w:p>
    <w:p w:rsidR="0047783A" w:rsidRPr="00D45256" w:rsidRDefault="00EA1ADC" w:rsidP="00D45256">
      <w:pPr>
        <w:pStyle w:val="Heading1"/>
        <w:rPr>
          <w:lang w:val="en-IE"/>
        </w:rPr>
      </w:pPr>
      <w:bookmarkStart w:id="36" w:name="_Toc41467300"/>
      <w:bookmarkStart w:id="37" w:name="_Toc42488092"/>
      <w:r w:rsidRPr="00D45256">
        <w:rPr>
          <w:lang w:val="en-IE"/>
        </w:rPr>
        <w:t>24.</w:t>
      </w:r>
      <w:r w:rsidR="00092841" w:rsidRPr="00D45256">
        <w:rPr>
          <w:lang w:val="en-IE"/>
        </w:rPr>
        <w:tab/>
      </w:r>
      <w:r w:rsidR="0047783A" w:rsidRPr="00D45256">
        <w:rPr>
          <w:lang w:val="en-IE"/>
        </w:rPr>
        <w:t>Ethics</w:t>
      </w:r>
      <w:r w:rsidR="00D920CD" w:rsidRPr="00D45256">
        <w:rPr>
          <w:lang w:val="en-IE"/>
        </w:rPr>
        <w:t>, values</w:t>
      </w:r>
      <w:bookmarkEnd w:id="36"/>
      <w:bookmarkEnd w:id="37"/>
      <w:r w:rsidR="00442FF2" w:rsidRPr="00D45256">
        <w:rPr>
          <w:lang w:val="en-IE"/>
        </w:rPr>
        <w:t>and code of conduct</w:t>
      </w:r>
    </w:p>
    <w:p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bookmarkStart w:id="38" w:name="_Hlk161239645"/>
      <w:r w:rsidR="00656270" w:rsidRPr="00656270">
        <w:rPr>
          <w:rFonts w:ascii="Times New Roman" w:hAnsi="Times New Roman"/>
          <w:sz w:val="22"/>
          <w:u w:val="single"/>
          <w:lang w:val="en-GB"/>
        </w:rPr>
        <w:t>and of professional conflicting interest</w:t>
      </w:r>
      <w:bookmarkEnd w:id="38"/>
    </w:p>
    <w:p w:rsidR="00442FF2" w:rsidRPr="00C348C0" w:rsidRDefault="00442FF2" w:rsidP="00D45256">
      <w:pPr>
        <w:keepNext/>
        <w:ind w:left="567"/>
        <w:jc w:val="both"/>
        <w:rPr>
          <w:rFonts w:ascii="Times New Roman" w:hAnsi="Times New Roman"/>
          <w:sz w:val="22"/>
          <w:szCs w:val="22"/>
        </w:rPr>
      </w:pPr>
      <w:r w:rsidRPr="00C348C0">
        <w:rPr>
          <w:rFonts w:ascii="Times New Roman" w:hAnsi="Times New Roman"/>
          <w:sz w:val="22"/>
          <w:szCs w:val="22"/>
        </w:rPr>
        <w:t xml:space="preserve">The tenderer must not be affected by any </w:t>
      </w:r>
      <w:r w:rsidR="0090127D" w:rsidRPr="00656270">
        <w:rPr>
          <w:rFonts w:ascii="Times New Roman" w:hAnsi="Times New Roman"/>
          <w:sz w:val="22"/>
          <w:u w:val="single"/>
        </w:rPr>
        <w:t>professional conflicting interest</w:t>
      </w:r>
      <w:r w:rsidR="00D077D2">
        <w:rPr>
          <w:rFonts w:ascii="Times New Roman" w:hAnsi="Times New Roman"/>
          <w:sz w:val="22"/>
          <w:szCs w:val="22"/>
        </w:rPr>
        <w:t xml:space="preserve">nor any </w:t>
      </w:r>
      <w:r w:rsidRPr="00C348C0">
        <w:rPr>
          <w:rFonts w:ascii="Times New Roman" w:hAnsi="Times New Roman"/>
          <w:sz w:val="22"/>
          <w:szCs w:val="22"/>
        </w:rPr>
        <w:t xml:space="preserve">conflict of interest and must have no equivalent relation in that respect with other tenderers or parties involved in the project. Any </w:t>
      </w:r>
      <w:r w:rsidR="00D920CD">
        <w:rPr>
          <w:rFonts w:ascii="Times New Roman" w:hAnsi="Times New Roman"/>
          <w:sz w:val="22"/>
          <w:szCs w:val="22"/>
        </w:rPr>
        <w:t xml:space="preserve">unduly influence or attempt to unduly influence the evaluation committee or the contracting authority during the process of examining, clarifying, </w:t>
      </w:r>
      <w:r w:rsidR="00567FD8">
        <w:rPr>
          <w:rFonts w:ascii="Times New Roman" w:hAnsi="Times New Roman"/>
          <w:sz w:val="22"/>
          <w:szCs w:val="22"/>
        </w:rPr>
        <w:t>evaluating</w:t>
      </w:r>
      <w:r w:rsidR="00D920CD">
        <w:rPr>
          <w:rFonts w:ascii="Times New Roman" w:hAnsi="Times New Roman"/>
          <w:sz w:val="22"/>
          <w:szCs w:val="22"/>
        </w:rPr>
        <w:t xml:space="preserve"> comparing tenders, any </w:t>
      </w:r>
      <w:r w:rsidRPr="00C348C0">
        <w:rPr>
          <w:rFonts w:ascii="Times New Roman" w:hAnsi="Times New Roman"/>
          <w:sz w:val="22"/>
          <w:szCs w:val="22"/>
        </w:rPr>
        <w:t>attempt to obtain confidential information</w:t>
      </w:r>
      <w:r w:rsidR="00567FD8">
        <w:rPr>
          <w:rFonts w:ascii="Times New Roman" w:hAnsi="Times New Roman"/>
          <w:sz w:val="22"/>
          <w:szCs w:val="22"/>
        </w:rPr>
        <w:t xml:space="preserve"> or</w:t>
      </w:r>
      <w:r w:rsidRPr="00C348C0">
        <w:rPr>
          <w:rFonts w:ascii="Times New Roman" w:hAnsi="Times New Roman"/>
          <w:sz w:val="22"/>
          <w:szCs w:val="22"/>
        </w:rPr>
        <w:t>enter</w:t>
      </w:r>
      <w:r w:rsidR="00567FD8">
        <w:rPr>
          <w:rFonts w:ascii="Times New Roman" w:hAnsi="Times New Roman"/>
          <w:sz w:val="22"/>
          <w:szCs w:val="22"/>
        </w:rPr>
        <w:t>ing</w:t>
      </w:r>
      <w:r w:rsidRPr="00C348C0">
        <w:rPr>
          <w:rFonts w:ascii="Times New Roman" w:hAnsi="Times New Roman"/>
          <w:sz w:val="22"/>
          <w:szCs w:val="22"/>
        </w:rPr>
        <w:t xml:space="preserve"> into unlawful agreements with competitors will lead to the rejection of its tender and may result in </w:t>
      </w:r>
      <w:r w:rsidR="00567FD8">
        <w:rPr>
          <w:rFonts w:ascii="Times New Roman" w:hAnsi="Times New Roman"/>
          <w:sz w:val="22"/>
          <w:szCs w:val="22"/>
        </w:rPr>
        <w:t>exclusion from future award procedures and/or financial penalties</w:t>
      </w:r>
      <w:r w:rsidRPr="00C348C0">
        <w:rPr>
          <w:rFonts w:ascii="Times New Roman" w:hAnsi="Times New Roman"/>
          <w:sz w:val="22"/>
          <w:szCs w:val="22"/>
        </w:rPr>
        <w:t xml:space="preserve"> according to the Financial Regulation in force. </w:t>
      </w:r>
    </w:p>
    <w:p w:rsidR="00201C47" w:rsidRDefault="0047783A" w:rsidP="00201C47">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 xml:space="preserve">Respect for human rights </w:t>
      </w:r>
      <w:r w:rsidR="0091417F">
        <w:rPr>
          <w:rFonts w:ascii="Times New Roman" w:hAnsi="Times New Roman"/>
          <w:sz w:val="22"/>
          <w:u w:val="single"/>
          <w:lang w:val="en-GB"/>
        </w:rPr>
        <w:t xml:space="preserve">and EU values </w:t>
      </w:r>
      <w:r w:rsidR="00442FF2" w:rsidRPr="00C348C0">
        <w:rPr>
          <w:rFonts w:ascii="Times New Roman" w:hAnsi="Times New Roman"/>
          <w:sz w:val="22"/>
          <w:u w:val="single"/>
          <w:lang w:val="en-GB"/>
        </w:rPr>
        <w:t>as well as environmental legislation and core labour standards</w:t>
      </w:r>
    </w:p>
    <w:p w:rsidR="00201C47" w:rsidRPr="00D45256" w:rsidRDefault="002F60F8"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must respect environmental legislation and core labour standards: participants that are awarded the contract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rsidR="00201C47" w:rsidRDefault="002F60F8" w:rsidP="00201C47">
      <w:pPr>
        <w:pStyle w:val="Heading2"/>
        <w:keepNext w:val="0"/>
        <w:ind w:left="567"/>
        <w:jc w:val="both"/>
        <w:rPr>
          <w:rFonts w:ascii="Times New Roman" w:hAnsi="Times New Roman"/>
          <w:sz w:val="22"/>
          <w:szCs w:val="22"/>
          <w:lang w:val="en-GB"/>
        </w:rPr>
      </w:pPr>
      <w:r w:rsidRPr="00D45256">
        <w:rPr>
          <w:rFonts w:ascii="Times New Roman" w:hAnsi="Times New Roman"/>
          <w:sz w:val="22"/>
          <w:szCs w:val="22"/>
          <w:lang w:val="en-GB"/>
        </w:rPr>
        <w:t>The tenderer and its personnel must commit to and ensure the respect of basic EU values, the tenderer and its personnel must comply with basic EU values such as respect for human dignity, freedom, democracy, equality, the rule of law and human rights, including the rights of minorities.</w:t>
      </w:r>
      <w:r w:rsidR="00442FF2" w:rsidRPr="00D45256">
        <w:rPr>
          <w:rFonts w:ascii="Times New Roman" w:hAnsi="Times New Roman"/>
          <w:sz w:val="22"/>
          <w:szCs w:val="22"/>
          <w:lang w:val="en-GB"/>
        </w:rPr>
        <w:t xml:space="preserve">The tenderer and its </w:t>
      </w:r>
      <w:r w:rsidR="00990FF8" w:rsidRPr="00D45256">
        <w:rPr>
          <w:rFonts w:ascii="Times New Roman" w:hAnsi="Times New Roman"/>
          <w:sz w:val="22"/>
          <w:szCs w:val="22"/>
          <w:lang w:val="en-GB"/>
        </w:rPr>
        <w:t>personnel</w:t>
      </w:r>
      <w:r w:rsidR="00442FF2" w:rsidRPr="00D45256">
        <w:rPr>
          <w:rFonts w:ascii="Times New Roman" w:hAnsi="Times New Roman"/>
          <w:sz w:val="22"/>
          <w:szCs w:val="22"/>
          <w:lang w:val="en-GB"/>
        </w:rPr>
        <w:t xml:space="preserve"> must comply with </w:t>
      </w:r>
      <w:r w:rsidR="00A50D37" w:rsidRPr="00D45256">
        <w:rPr>
          <w:rFonts w:ascii="Times New Roman" w:hAnsi="Times New Roman"/>
          <w:sz w:val="22"/>
          <w:szCs w:val="22"/>
          <w:lang w:val="en-GB"/>
        </w:rPr>
        <w:t>applicable data protection rules</w:t>
      </w:r>
      <w:r w:rsidRPr="00D45256">
        <w:rPr>
          <w:rFonts w:ascii="Times New Roman" w:hAnsi="Times New Roman"/>
          <w:sz w:val="22"/>
          <w:szCs w:val="22"/>
          <w:lang w:val="en-GB"/>
        </w:rPr>
        <w:t xml:space="preserve"> and </w:t>
      </w:r>
      <w:r w:rsidR="00442FF2" w:rsidRPr="00D45256">
        <w:rPr>
          <w:rFonts w:ascii="Times New Roman" w:hAnsi="Times New Roman"/>
          <w:sz w:val="22"/>
          <w:szCs w:val="22"/>
          <w:lang w:val="en-GB"/>
        </w:rPr>
        <w:t>environmental legislation</w:t>
      </w:r>
      <w:r w:rsidR="001E7D1F">
        <w:rPr>
          <w:rFonts w:ascii="Times New Roman" w:hAnsi="Times New Roman"/>
          <w:sz w:val="22"/>
          <w:szCs w:val="22"/>
          <w:lang w:val="en-GB"/>
        </w:rPr>
        <w:t>.</w:t>
      </w:r>
      <w:r w:rsidRPr="00D45256">
        <w:rPr>
          <w:rFonts w:ascii="Times New Roman" w:hAnsi="Times New Roman"/>
          <w:sz w:val="22"/>
          <w:szCs w:val="22"/>
          <w:lang w:val="en-GB"/>
        </w:rPr>
        <w:t xml:space="preserve"> In particular</w:t>
      </w:r>
      <w:r w:rsidR="001E7D1F">
        <w:rPr>
          <w:rFonts w:ascii="Times New Roman" w:hAnsi="Times New Roman"/>
          <w:sz w:val="22"/>
          <w:szCs w:val="22"/>
          <w:lang w:val="en-GB"/>
        </w:rPr>
        <w:t>,</w:t>
      </w:r>
      <w:r w:rsidRPr="00D45256">
        <w:rPr>
          <w:rFonts w:ascii="Times New Roman" w:hAnsi="Times New Roman"/>
          <w:sz w:val="22"/>
          <w:szCs w:val="22"/>
          <w:lang w:val="en-GB"/>
        </w:rPr>
        <w:t xml:space="preserve"> tenderers who have been awarded the contract </w:t>
      </w:r>
      <w:r w:rsidR="001E7D1F">
        <w:rPr>
          <w:rFonts w:ascii="Times New Roman" w:hAnsi="Times New Roman"/>
          <w:sz w:val="22"/>
          <w:szCs w:val="22"/>
          <w:lang w:val="en-GB"/>
        </w:rPr>
        <w:t>m</w:t>
      </w:r>
      <w:r w:rsidRPr="00D45256">
        <w:rPr>
          <w:rFonts w:ascii="Times New Roman" w:hAnsi="Times New Roman"/>
          <w:sz w:val="22"/>
          <w:szCs w:val="22"/>
          <w:lang w:val="en-GB"/>
        </w:rPr>
        <w:t>ust also comply with</w:t>
      </w:r>
      <w:r w:rsidR="00442FF2" w:rsidRPr="00D45256">
        <w:rPr>
          <w:rFonts w:ascii="Times New Roman" w:hAnsi="Times New Roman"/>
          <w:sz w:val="22"/>
          <w:szCs w:val="22"/>
          <w:lang w:val="en-GB"/>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bookmarkStart w:id="39" w:name="_Hlk161249487"/>
    </w:p>
    <w:p w:rsidR="0091417F" w:rsidRPr="00D45256" w:rsidRDefault="0091417F"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and its personnel must comply with EU values, such as respect for human dignity, freedom, democracy, equality, the rule of law and human rights, including the rights of minorities. </w:t>
      </w:r>
    </w:p>
    <w:bookmarkEnd w:id="39"/>
    <w:p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092841">
        <w:rPr>
          <w:lang w:val="en-GB"/>
        </w:rPr>
        <w:tab/>
      </w:r>
      <w:r w:rsidR="00442FF2" w:rsidRPr="00C348C0">
        <w:rPr>
          <w:rFonts w:ascii="Times New Roman" w:hAnsi="Times New Roman"/>
          <w:sz w:val="22"/>
          <w:u w:val="single"/>
          <w:lang w:val="en-GB"/>
        </w:rPr>
        <w:t>Anti-corruption and anti-bribery</w:t>
      </w:r>
    </w:p>
    <w:p w:rsidR="0047783A" w:rsidRPr="00E82463" w:rsidRDefault="00442FF2" w:rsidP="00D45256">
      <w:pPr>
        <w:ind w:left="567"/>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p>
    <w:p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567FD8">
        <w:rPr>
          <w:rFonts w:ascii="Times New Roman" w:hAnsi="Times New Roman"/>
          <w:sz w:val="22"/>
          <w:szCs w:val="22"/>
        </w:rPr>
        <w:t>future award procedures</w:t>
      </w:r>
      <w:r w:rsidRPr="00C348C0">
        <w:rPr>
          <w:rFonts w:ascii="Times New Roman" w:hAnsi="Times New Roman"/>
          <w:sz w:val="22"/>
          <w:szCs w:val="22"/>
        </w:rPr>
        <w:t>.</w:t>
      </w:r>
    </w:p>
    <w:p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rsidR="0047783A" w:rsidRPr="00D45256" w:rsidRDefault="00EA1ADC" w:rsidP="00D45256">
      <w:pPr>
        <w:pStyle w:val="Heading1"/>
        <w:rPr>
          <w:lang w:val="en-IE"/>
        </w:rPr>
      </w:pPr>
      <w:bookmarkStart w:id="40" w:name="_Toc42488093"/>
      <w:r w:rsidRPr="00D45256">
        <w:rPr>
          <w:lang w:val="en-IE"/>
        </w:rPr>
        <w:t>25.</w:t>
      </w:r>
      <w:r w:rsidRPr="00D45256">
        <w:rPr>
          <w:lang w:val="en-IE"/>
        </w:rPr>
        <w:tab/>
      </w:r>
      <w:r w:rsidR="0047783A" w:rsidRPr="00D45256">
        <w:rPr>
          <w:lang w:val="en-IE"/>
        </w:rPr>
        <w:t>Cancellation of the tender procedure</w:t>
      </w:r>
      <w:bookmarkEnd w:id="40"/>
    </w:p>
    <w:p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rsidR="0047783A" w:rsidRPr="00E82463" w:rsidRDefault="0047783A" w:rsidP="0047783A">
      <w:pPr>
        <w:pStyle w:val="BodyText"/>
        <w:ind w:left="567"/>
        <w:jc w:val="both"/>
        <w:rPr>
          <w:rFonts w:ascii="Times New Roman" w:hAnsi="Times New Roman"/>
        </w:rPr>
      </w:pPr>
      <w:r w:rsidRPr="0038251B">
        <w:rPr>
          <w:rFonts w:ascii="Times New Roman" w:hAnsi="Times New Roman"/>
          <w:sz w:val="22"/>
        </w:rPr>
        <w:t>If the tender procedure is cancelled before the tender opening session the sealed envelopes will be returned, unopened, to the tenderers.</w:t>
      </w:r>
    </w:p>
    <w:p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Pr="00E82463">
        <w:rPr>
          <w:sz w:val="22"/>
        </w:rPr>
        <w:t xml:space="preserve">qualitatively or financially </w:t>
      </w:r>
      <w:r w:rsidR="00CF48EA">
        <w:rPr>
          <w:sz w:val="22"/>
          <w:szCs w:val="22"/>
        </w:rPr>
        <w:t>acceptable</w:t>
      </w:r>
      <w:r w:rsidRPr="00E82463">
        <w:rPr>
          <w:sz w:val="22"/>
        </w:rPr>
        <w:t>tender has been received or there has been no valid response at all;</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Pr="00E82463">
        <w:rPr>
          <w:sz w:val="22"/>
        </w:rPr>
        <w:t>tenders exceed the financial resources available;</w:t>
      </w:r>
    </w:p>
    <w:p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Pr="00E82463">
        <w:rPr>
          <w:sz w:val="22"/>
        </w:rPr>
        <w:t xml:space="preserve">irregularities </w:t>
      </w:r>
      <w:r w:rsidR="00CF48EA">
        <w:rPr>
          <w:sz w:val="22"/>
          <w:szCs w:val="22"/>
        </w:rPr>
        <w:t>or frauds</w:t>
      </w:r>
      <w:r w:rsidRPr="00E82463">
        <w:rPr>
          <w:sz w:val="22"/>
        </w:rPr>
        <w:t>in the procedure, in particular where these have prevented fair competition;</w:t>
      </w:r>
    </w:p>
    <w:p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rsidR="0047783A" w:rsidRPr="00D45256" w:rsidRDefault="00EA1ADC" w:rsidP="00D45256">
      <w:pPr>
        <w:pStyle w:val="Heading1"/>
        <w:rPr>
          <w:lang w:val="en-IE"/>
        </w:rPr>
      </w:pPr>
      <w:r w:rsidRPr="00D45256">
        <w:rPr>
          <w:lang w:val="en-IE"/>
        </w:rPr>
        <w:t xml:space="preserve">26. </w:t>
      </w:r>
      <w:r w:rsidRPr="00D45256">
        <w:rPr>
          <w:lang w:val="en-IE"/>
        </w:rPr>
        <w:tab/>
      </w:r>
      <w:r w:rsidR="0047783A" w:rsidRPr="00D45256">
        <w:rPr>
          <w:lang w:val="en-IE"/>
        </w:rPr>
        <w:t>Appeals</w:t>
      </w:r>
    </w:p>
    <w:p w:rsidR="0047783A" w:rsidRPr="00E82463" w:rsidRDefault="0047783A" w:rsidP="00D45256">
      <w:pPr>
        <w:pStyle w:val="BodyText2"/>
        <w:tabs>
          <w:tab w:val="clear" w:pos="567"/>
        </w:tabs>
        <w:spacing w:before="120"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rsidR="00A50D37" w:rsidRPr="009956B4" w:rsidRDefault="00A50D37" w:rsidP="00D45256">
      <w:pPr>
        <w:keepNext/>
        <w:ind w:left="567" w:hanging="567"/>
        <w:jc w:val="both"/>
        <w:rPr>
          <w:rFonts w:ascii="Times New Roman" w:hAnsi="Times New Roman"/>
          <w:b/>
          <w:sz w:val="28"/>
          <w:lang w:val="en-US"/>
        </w:rPr>
      </w:pPr>
      <w:r w:rsidRPr="009956B4">
        <w:rPr>
          <w:rFonts w:ascii="Times New Roman" w:hAnsi="Times New Roman"/>
          <w:b/>
          <w:sz w:val="28"/>
          <w:lang w:val="en-US"/>
        </w:rPr>
        <w:t>27.</w:t>
      </w:r>
      <w:r w:rsidR="00092841">
        <w:rPr>
          <w:rFonts w:ascii="Times New Roman" w:hAnsi="Times New Roman"/>
          <w:b/>
          <w:sz w:val="28"/>
          <w:lang w:val="en-US"/>
        </w:rPr>
        <w:tab/>
      </w:r>
      <w:r w:rsidRPr="009956B4">
        <w:rPr>
          <w:rFonts w:ascii="Times New Roman" w:hAnsi="Times New Roman"/>
          <w:b/>
          <w:sz w:val="28"/>
          <w:lang w:val="en-US"/>
        </w:rPr>
        <w:t>Data Protection</w:t>
      </w:r>
    </w:p>
    <w:p w:rsidR="00A50D37" w:rsidRPr="0038251B" w:rsidRDefault="00A50D37" w:rsidP="004C43A5">
      <w:pPr>
        <w:tabs>
          <w:tab w:val="left" w:pos="567"/>
        </w:tabs>
        <w:ind w:left="567"/>
        <w:jc w:val="both"/>
        <w:rPr>
          <w:rFonts w:ascii="Times New Roman" w:hAnsi="Times New Roman"/>
          <w:sz w:val="22"/>
          <w:szCs w:val="22"/>
        </w:rPr>
      </w:pPr>
      <w:r w:rsidRPr="0038251B">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A50D37" w:rsidRPr="00FC6A15" w:rsidRDefault="00A50D37" w:rsidP="0038251B">
      <w:pPr>
        <w:tabs>
          <w:tab w:val="left" w:pos="567"/>
        </w:tabs>
        <w:ind w:left="567"/>
        <w:jc w:val="both"/>
        <w:rPr>
          <w:rFonts w:ascii="Times New Roman" w:hAnsi="Times New Roman"/>
          <w:sz w:val="22"/>
          <w:szCs w:val="22"/>
        </w:rPr>
      </w:pPr>
      <w:r w:rsidRPr="0038251B">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isthe head of contracts and finance unit R4 of DG Neighbourhood and Enlargement Negotiations</w:t>
      </w:r>
    </w:p>
    <w:p w:rsidR="0047783A" w:rsidRPr="00D45256" w:rsidRDefault="00EA1ADC" w:rsidP="00D45256">
      <w:pPr>
        <w:pStyle w:val="Heading1"/>
        <w:rPr>
          <w:bCs/>
          <w:sz w:val="22"/>
          <w:szCs w:val="22"/>
          <w:lang w:val="en-IE"/>
        </w:rPr>
      </w:pPr>
      <w:r w:rsidRPr="00D45256">
        <w:rPr>
          <w:lang w:val="en-IE"/>
        </w:rPr>
        <w:t>28.</w:t>
      </w:r>
      <w:r w:rsidRPr="00D45256">
        <w:rPr>
          <w:lang w:val="en-IE"/>
        </w:rPr>
        <w:tab/>
      </w:r>
      <w:r w:rsidR="0047783A" w:rsidRPr="00D45256">
        <w:rPr>
          <w:lang w:val="en-IE"/>
        </w:rPr>
        <w:t xml:space="preserve">Early </w:t>
      </w:r>
      <w:r w:rsidR="00503427" w:rsidRPr="00D45256">
        <w:rPr>
          <w:lang w:val="en-IE"/>
        </w:rPr>
        <w:t>d</w:t>
      </w:r>
      <w:r w:rsidR="00E603B8" w:rsidRPr="00D45256">
        <w:rPr>
          <w:lang w:val="en-IE"/>
        </w:rPr>
        <w:t xml:space="preserve">etection and </w:t>
      </w:r>
      <w:r w:rsidR="00503427" w:rsidRPr="00D45256">
        <w:rPr>
          <w:lang w:val="en-IE"/>
        </w:rPr>
        <w:t>e</w:t>
      </w:r>
      <w:r w:rsidR="00E603B8" w:rsidRPr="00D45256">
        <w:rPr>
          <w:lang w:val="en-IE"/>
        </w:rPr>
        <w:t xml:space="preserve">xclusion </w:t>
      </w:r>
      <w:r w:rsidR="00503427" w:rsidRPr="00D45256">
        <w:rPr>
          <w:lang w:val="en-IE"/>
        </w:rPr>
        <w:t>s</w:t>
      </w:r>
      <w:r w:rsidR="0047783A" w:rsidRPr="00D45256">
        <w:rPr>
          <w:lang w:val="en-IE"/>
        </w:rPr>
        <w:t>ystem</w:t>
      </w:r>
    </w:p>
    <w:p w:rsidR="00130EF1" w:rsidRDefault="0047783A" w:rsidP="004C43A5">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w:t>
      </w:r>
      <w:r w:rsidR="00E469FA">
        <w:rPr>
          <w:rFonts w:ascii="Times New Roman" w:hAnsi="Times New Roman"/>
          <w:sz w:val="22"/>
          <w:szCs w:val="22"/>
        </w:rPr>
        <w:t xml:space="preserve">natural or legal person that assumes unlimited liability for the debts, natural or legal person who is essential for the award or the implementation of the legal commitment, beneficial owner or any affiliate of the tender, </w:t>
      </w:r>
      <w:r w:rsidRPr="00C348C0">
        <w:rPr>
          <w:rFonts w:ascii="Times New Roman" w:hAnsi="Times New Roman"/>
          <w:sz w:val="22"/>
          <w:szCs w:val="22"/>
        </w:rPr>
        <w:t xml:space="preserve">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rsidR="00A820FC" w:rsidRDefault="00E469FA" w:rsidP="0038251B">
      <w:pPr>
        <w:pStyle w:val="BodyText"/>
        <w:ind w:left="567"/>
        <w:jc w:val="both"/>
        <w:rPr>
          <w:rStyle w:val="Hyperlink"/>
          <w:rFonts w:ascii="Times New Roman" w:hAnsi="Times New Roman"/>
          <w:sz w:val="22"/>
          <w:szCs w:val="22"/>
        </w:rPr>
      </w:pPr>
      <w:r w:rsidRPr="00E469FA">
        <w:rPr>
          <w:rFonts w:ascii="Times New Roman" w:hAnsi="Times New Roman"/>
          <w:sz w:val="22"/>
          <w:szCs w:val="22"/>
        </w:rPr>
        <w:t xml:space="preserve">For more information, you may consult the privacy statement available on </w:t>
      </w:r>
      <w:hyperlink r:id="rId10" w:history="1">
        <w:r w:rsidR="00A90D11" w:rsidRPr="001F117A">
          <w:rPr>
            <w:rStyle w:val="Hyperlink"/>
            <w:rFonts w:ascii="Times New Roman" w:hAnsi="Times New Roman"/>
            <w:sz w:val="22"/>
            <w:szCs w:val="22"/>
          </w:rPr>
          <w:t>http://ec.europa.eu/budget/explained/management/protecting/protect_en.cfm</w:t>
        </w:r>
      </w:hyperlink>
    </w:p>
    <w:p w:rsidR="0038251B" w:rsidRDefault="0038251B" w:rsidP="0038251B">
      <w:pPr>
        <w:pStyle w:val="BodyText"/>
        <w:ind w:left="567"/>
        <w:jc w:val="both"/>
        <w:rPr>
          <w:rStyle w:val="Hyperlink"/>
          <w:rFonts w:ascii="Times New Roman" w:hAnsi="Times New Roman"/>
          <w:sz w:val="22"/>
          <w:szCs w:val="22"/>
        </w:rPr>
      </w:pPr>
    </w:p>
    <w:sectPr w:rsidR="0038251B" w:rsidSect="0038251B">
      <w:footerReference w:type="default" r:id="rId11"/>
      <w:pgSz w:w="11906" w:h="16838"/>
      <w:pgMar w:top="993" w:right="1418" w:bottom="1134" w:left="1134" w:header="720" w:footer="469" w:gutter="56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212" w:rsidRPr="006A5F84" w:rsidRDefault="00B07212">
      <w:r w:rsidRPr="006A5F84">
        <w:separator/>
      </w:r>
    </w:p>
  </w:endnote>
  <w:endnote w:type="continuationSeparator" w:id="1">
    <w:p w:rsidR="00B07212" w:rsidRPr="006A5F84" w:rsidRDefault="00B07212">
      <w:r w:rsidRPr="006A5F84">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15" w:rsidRPr="001C3D34" w:rsidRDefault="00723015" w:rsidP="00723015">
    <w:pPr>
      <w:pStyle w:val="Footer"/>
      <w:tabs>
        <w:tab w:val="clear" w:pos="4320"/>
        <w:tab w:val="clear" w:pos="8640"/>
        <w:tab w:val="right" w:pos="14742"/>
      </w:tabs>
      <w:spacing w:after="0"/>
      <w:ind w:right="6"/>
      <w:rPr>
        <w:rStyle w:val="PageNumber"/>
        <w:rFonts w:ascii="Times New Roman" w:hAnsi="Times New Roman"/>
        <w:b/>
        <w:sz w:val="18"/>
      </w:rPr>
    </w:pPr>
    <w:r>
      <w:rPr>
        <w:rFonts w:ascii="Times New Roman" w:hAnsi="Times New Roman"/>
        <w:b/>
        <w:sz w:val="18"/>
      </w:rPr>
      <w:t>2025</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0095284F"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0095284F" w:rsidRPr="009423FB">
      <w:rPr>
        <w:rStyle w:val="PageNumber"/>
        <w:rFonts w:ascii="Times New Roman" w:hAnsi="Times New Roman"/>
        <w:sz w:val="18"/>
        <w:szCs w:val="18"/>
      </w:rPr>
      <w:fldChar w:fldCharType="separate"/>
    </w:r>
    <w:r w:rsidR="003C735E">
      <w:rPr>
        <w:rStyle w:val="PageNumber"/>
        <w:rFonts w:ascii="Times New Roman" w:hAnsi="Times New Roman"/>
        <w:noProof/>
        <w:sz w:val="18"/>
        <w:szCs w:val="18"/>
      </w:rPr>
      <w:t>1</w:t>
    </w:r>
    <w:r w:rsidR="0095284F"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0095284F"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0095284F" w:rsidRPr="009423FB">
      <w:rPr>
        <w:rStyle w:val="PageNumber"/>
        <w:rFonts w:ascii="Times New Roman" w:hAnsi="Times New Roman"/>
        <w:sz w:val="18"/>
        <w:szCs w:val="18"/>
      </w:rPr>
      <w:fldChar w:fldCharType="separate"/>
    </w:r>
    <w:r w:rsidR="003C735E">
      <w:rPr>
        <w:rStyle w:val="PageNumber"/>
        <w:rFonts w:ascii="Times New Roman" w:hAnsi="Times New Roman"/>
        <w:noProof/>
        <w:sz w:val="18"/>
        <w:szCs w:val="18"/>
      </w:rPr>
      <w:t>7</w:t>
    </w:r>
    <w:r w:rsidR="0095284F" w:rsidRPr="009423FB">
      <w:rPr>
        <w:rStyle w:val="PageNumber"/>
        <w:rFonts w:ascii="Times New Roman" w:hAnsi="Times New Roman"/>
        <w:sz w:val="18"/>
        <w:szCs w:val="18"/>
      </w:rPr>
      <w:fldChar w:fldCharType="end"/>
    </w:r>
  </w:p>
  <w:p w:rsidR="00723015" w:rsidRPr="009423FB" w:rsidRDefault="0095284F" w:rsidP="009423FB">
    <w:pPr>
      <w:spacing w:before="0" w:after="0"/>
      <w:rPr>
        <w:rFonts w:ascii="Times New Roman" w:hAnsi="Times New Roman"/>
        <w:sz w:val="18"/>
        <w:szCs w:val="18"/>
      </w:rPr>
    </w:pPr>
    <w:fldSimple w:instr=" FILENAME   \* MERGEFORMAT ">
      <w:r w:rsidR="003C735E" w:rsidRPr="003C735E">
        <w:rPr>
          <w:rFonts w:ascii="Times New Roman" w:hAnsi="Times New Roman"/>
          <w:noProof/>
          <w:sz w:val="18"/>
          <w:szCs w:val="18"/>
        </w:rPr>
        <w:t>c4b_itt_en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212" w:rsidRPr="006A5F84" w:rsidRDefault="00B07212">
      <w:r w:rsidRPr="006A5F84">
        <w:separator/>
      </w:r>
    </w:p>
  </w:footnote>
  <w:footnote w:type="continuationSeparator" w:id="1">
    <w:p w:rsidR="00B07212" w:rsidRPr="006A5F84" w:rsidRDefault="00B07212">
      <w:r w:rsidRPr="006A5F84">
        <w:continuationSeparator/>
      </w:r>
    </w:p>
  </w:footnote>
  <w:footnote w:id="2">
    <w:p w:rsidR="00ED61DF" w:rsidRPr="00723015" w:rsidRDefault="00ED61DF" w:rsidP="00723015">
      <w:pPr>
        <w:pStyle w:val="FootnoteText"/>
      </w:pPr>
      <w:r w:rsidRPr="006A5F84">
        <w:rPr>
          <w:rStyle w:val="FootnoteReference"/>
          <w:lang w:val="en-GB"/>
        </w:rPr>
        <w:footnoteRef/>
      </w:r>
      <w:r w:rsidR="001C3D34" w:rsidRPr="00723015">
        <w:tab/>
      </w:r>
      <w:r w:rsidRPr="00386DB1">
        <w:t>DAP (Delivered At Place)</w:t>
      </w:r>
      <w:r w:rsidRPr="00723015">
        <w:t xml:space="preserve"> — Incoterms 2020 International Chamber of Commerce </w:t>
      </w:r>
      <w:hyperlink r:id="rId1" w:history="1">
        <w:r>
          <w:rPr>
            <w:rStyle w:val="Hyperlink"/>
            <w:lang w:val="en-GB"/>
          </w:rPr>
          <w:t>http://www.iccwbo.org/incoterms/</w:t>
        </w:r>
      </w:hyperlink>
    </w:p>
  </w:footnote>
  <w:footnote w:id="3">
    <w:p w:rsidR="006D653B" w:rsidRPr="00723015" w:rsidRDefault="006D653B" w:rsidP="00723015">
      <w:pPr>
        <w:pStyle w:val="FootnoteText"/>
      </w:pPr>
      <w:r>
        <w:rPr>
          <w:rStyle w:val="FootnoteReference"/>
        </w:rPr>
        <w:footnoteRef/>
      </w:r>
      <w:r w:rsidR="001C3D34" w:rsidRPr="00723015">
        <w:tab/>
      </w:r>
      <w:r w:rsidRPr="00723015">
        <w:t>Please note that the EU Official Journal contains the official list of entities subject to restrictive measures and, in case of conflict, it prevails over the list of the </w:t>
      </w:r>
      <w:hyperlink r:id="rId2" w:anchor="/main" w:tgtFrame="_blank" w:history="1">
        <w:r w:rsidRPr="00E37E17">
          <w:rPr>
            <w:rStyle w:val="Hyperlink"/>
            <w:i/>
            <w:iCs/>
            <w:sz w:val="18"/>
            <w:szCs w:val="18"/>
            <w:lang w:val="en-US"/>
          </w:rPr>
          <w:t>EU Sanctions Map</w:t>
        </w:r>
      </w:hyperlink>
      <w:r w:rsidRPr="00723015">
        <w:t>.</w:t>
      </w:r>
    </w:p>
  </w:footnote>
  <w:footnote w:id="4">
    <w:p w:rsidR="00ED61DF" w:rsidRPr="00723015" w:rsidRDefault="00ED61DF" w:rsidP="00723015">
      <w:pPr>
        <w:pStyle w:val="FootnoteText"/>
      </w:pPr>
      <w:r>
        <w:rPr>
          <w:rStyle w:val="FootnoteReference"/>
        </w:rPr>
        <w:footnoteRef/>
      </w:r>
      <w:r w:rsidR="001C3D34" w:rsidRPr="00723015">
        <w:tab/>
      </w:r>
      <w:r w:rsidRPr="00723015">
        <w:t>See PRAG Section 2.</w:t>
      </w:r>
      <w:r w:rsidR="00EB1B5D" w:rsidRPr="00723015">
        <w:t>4.2.3.(1)</w:t>
      </w:r>
    </w:p>
  </w:footnote>
  <w:footnote w:id="5">
    <w:p w:rsidR="00ED61DF" w:rsidRPr="00723015" w:rsidRDefault="00ED61DF" w:rsidP="00723015">
      <w:pPr>
        <w:pStyle w:val="FootnoteText"/>
      </w:pPr>
      <w:r>
        <w:rPr>
          <w:rStyle w:val="FootnoteReference"/>
        </w:rPr>
        <w:footnoteRef/>
      </w:r>
      <w:r w:rsidRPr="00723015">
        <w:t xml:space="preserve"> It isrecommended to use registered mail in case the postmarkwould not bereadable</w:t>
      </w:r>
    </w:p>
  </w:footnote>
  <w:footnote w:id="6">
    <w:p w:rsidR="00ED61DF" w:rsidRPr="00723015" w:rsidRDefault="00ED61DF" w:rsidP="00723015">
      <w:pPr>
        <w:pStyle w:val="FootnoteText"/>
      </w:pPr>
      <w:r w:rsidRPr="006A5F84">
        <w:rPr>
          <w:rStyle w:val="FootnoteReference"/>
          <w:lang w:val="en-GB"/>
        </w:rPr>
        <w:footnoteRef/>
      </w:r>
      <w:r w:rsidR="00E93A21" w:rsidRPr="00723015">
        <w:tab/>
      </w:r>
      <w:r w:rsidRPr="005C124C">
        <w:t>DAP (Delivered At Place)</w:t>
      </w:r>
      <w:r w:rsidRPr="00723015">
        <w:t xml:space="preserve"> — Incoterms 2020 International Chamber of Commerce  </w:t>
      </w:r>
      <w:hyperlink r:id="rId3" w:history="1">
        <w:r>
          <w:rPr>
            <w:rStyle w:val="Hyperlink"/>
            <w:lang w:val="en-GB"/>
          </w:rPr>
          <w:t>http://www.iccwbo.org/incoterms/</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nsid w:val="2974113C"/>
    <w:multiLevelType w:val="hybridMultilevel"/>
    <w:tmpl w:val="AED8405E"/>
    <w:lvl w:ilvl="0" w:tplc="18090001">
      <w:start w:val="1"/>
      <w:numFmt w:val="bullet"/>
      <w:lvlText w:val=""/>
      <w:lvlJc w:val="left"/>
      <w:pPr>
        <w:ind w:left="1495" w:hanging="360"/>
      </w:pPr>
      <w:rPr>
        <w:rFonts w:ascii="Symbol" w:hAnsi="Symbol" w:hint="default"/>
      </w:rPr>
    </w:lvl>
    <w:lvl w:ilvl="1" w:tplc="18090003" w:tentative="1">
      <w:start w:val="1"/>
      <w:numFmt w:val="bullet"/>
      <w:lvlText w:val="o"/>
      <w:lvlJc w:val="left"/>
      <w:pPr>
        <w:ind w:left="2215" w:hanging="360"/>
      </w:pPr>
      <w:rPr>
        <w:rFonts w:ascii="Courier New" w:hAnsi="Courier New" w:cs="Courier New" w:hint="default"/>
      </w:rPr>
    </w:lvl>
    <w:lvl w:ilvl="2" w:tplc="18090005" w:tentative="1">
      <w:start w:val="1"/>
      <w:numFmt w:val="bullet"/>
      <w:lvlText w:val=""/>
      <w:lvlJc w:val="left"/>
      <w:pPr>
        <w:ind w:left="2935" w:hanging="360"/>
      </w:pPr>
      <w:rPr>
        <w:rFonts w:ascii="Wingdings" w:hAnsi="Wingdings" w:hint="default"/>
      </w:rPr>
    </w:lvl>
    <w:lvl w:ilvl="3" w:tplc="18090001" w:tentative="1">
      <w:start w:val="1"/>
      <w:numFmt w:val="bullet"/>
      <w:lvlText w:val=""/>
      <w:lvlJc w:val="left"/>
      <w:pPr>
        <w:ind w:left="3655" w:hanging="360"/>
      </w:pPr>
      <w:rPr>
        <w:rFonts w:ascii="Symbol" w:hAnsi="Symbol" w:hint="default"/>
      </w:rPr>
    </w:lvl>
    <w:lvl w:ilvl="4" w:tplc="18090003" w:tentative="1">
      <w:start w:val="1"/>
      <w:numFmt w:val="bullet"/>
      <w:lvlText w:val="o"/>
      <w:lvlJc w:val="left"/>
      <w:pPr>
        <w:ind w:left="4375" w:hanging="360"/>
      </w:pPr>
      <w:rPr>
        <w:rFonts w:ascii="Courier New" w:hAnsi="Courier New" w:cs="Courier New" w:hint="default"/>
      </w:rPr>
    </w:lvl>
    <w:lvl w:ilvl="5" w:tplc="18090005" w:tentative="1">
      <w:start w:val="1"/>
      <w:numFmt w:val="bullet"/>
      <w:lvlText w:val=""/>
      <w:lvlJc w:val="left"/>
      <w:pPr>
        <w:ind w:left="5095" w:hanging="360"/>
      </w:pPr>
      <w:rPr>
        <w:rFonts w:ascii="Wingdings" w:hAnsi="Wingdings" w:hint="default"/>
      </w:rPr>
    </w:lvl>
    <w:lvl w:ilvl="6" w:tplc="18090001" w:tentative="1">
      <w:start w:val="1"/>
      <w:numFmt w:val="bullet"/>
      <w:lvlText w:val=""/>
      <w:lvlJc w:val="left"/>
      <w:pPr>
        <w:ind w:left="5815" w:hanging="360"/>
      </w:pPr>
      <w:rPr>
        <w:rFonts w:ascii="Symbol" w:hAnsi="Symbol" w:hint="default"/>
      </w:rPr>
    </w:lvl>
    <w:lvl w:ilvl="7" w:tplc="18090003" w:tentative="1">
      <w:start w:val="1"/>
      <w:numFmt w:val="bullet"/>
      <w:lvlText w:val="o"/>
      <w:lvlJc w:val="left"/>
      <w:pPr>
        <w:ind w:left="6535" w:hanging="360"/>
      </w:pPr>
      <w:rPr>
        <w:rFonts w:ascii="Courier New" w:hAnsi="Courier New" w:cs="Courier New" w:hint="default"/>
      </w:rPr>
    </w:lvl>
    <w:lvl w:ilvl="8" w:tplc="18090005" w:tentative="1">
      <w:start w:val="1"/>
      <w:numFmt w:val="bullet"/>
      <w:lvlText w:val=""/>
      <w:lvlJc w:val="left"/>
      <w:pPr>
        <w:ind w:left="7255" w:hanging="360"/>
      </w:pPr>
      <w:rPr>
        <w:rFonts w:ascii="Wingdings" w:hAnsi="Wingdings" w:hint="default"/>
      </w:rPr>
    </w:lvl>
  </w:abstractNum>
  <w:abstractNum w:abstractNumId="15">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2B7444F2"/>
    <w:multiLevelType w:val="hybridMultilevel"/>
    <w:tmpl w:val="988CC0D0"/>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17">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AA638B3"/>
    <w:multiLevelType w:val="hybridMultilevel"/>
    <w:tmpl w:val="F10C11D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4">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6AC66C70"/>
    <w:multiLevelType w:val="hybridMultilevel"/>
    <w:tmpl w:val="99CCB154"/>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9">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2">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7"/>
  </w:num>
  <w:num w:numId="3">
    <w:abstractNumId w:val="11"/>
  </w:num>
  <w:num w:numId="4">
    <w:abstractNumId w:val="15"/>
  </w:num>
  <w:num w:numId="5">
    <w:abstractNumId w:val="30"/>
  </w:num>
  <w:num w:numId="6">
    <w:abstractNumId w:val="10"/>
  </w:num>
  <w:num w:numId="7">
    <w:abstractNumId w:val="6"/>
  </w:num>
  <w:num w:numId="8">
    <w:abstractNumId w:val="2"/>
  </w:num>
  <w:num w:numId="9">
    <w:abstractNumId w:val="18"/>
  </w:num>
  <w:num w:numId="10">
    <w:abstractNumId w:val="5"/>
  </w:num>
  <w:num w:numId="11">
    <w:abstractNumId w:val="26"/>
  </w:num>
  <w:num w:numId="12">
    <w:abstractNumId w:val="13"/>
  </w:num>
  <w:num w:numId="13">
    <w:abstractNumId w:val="8"/>
  </w:num>
  <w:num w:numId="14">
    <w:abstractNumId w:val="24"/>
  </w:num>
  <w:num w:numId="15">
    <w:abstractNumId w:val="25"/>
  </w:num>
  <w:num w:numId="16">
    <w:abstractNumId w:val="9"/>
  </w:num>
  <w:num w:numId="17">
    <w:abstractNumId w:val="20"/>
  </w:num>
  <w:num w:numId="18">
    <w:abstractNumId w:val="12"/>
  </w:num>
  <w:num w:numId="19">
    <w:abstractNumId w:val="12"/>
  </w:num>
  <w:num w:numId="20">
    <w:abstractNumId w:val="32"/>
  </w:num>
  <w:num w:numId="21">
    <w:abstractNumId w:val="22"/>
  </w:num>
  <w:num w:numId="22">
    <w:abstractNumId w:val="21"/>
  </w:num>
  <w:num w:numId="23">
    <w:abstractNumId w:val="3"/>
  </w:num>
  <w:num w:numId="24">
    <w:abstractNumId w:val="12"/>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31"/>
  </w:num>
  <w:num w:numId="30">
    <w:abstractNumId w:val="27"/>
    <w:lvlOverride w:ilvl="0">
      <w:startOverride w:val="20"/>
    </w:lvlOverride>
    <w:lvlOverride w:ilvl="1">
      <w:startOverride w:val="7"/>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num>
  <w:num w:numId="34">
    <w:abstractNumId w:val="28"/>
  </w:num>
  <w:num w:numId="35">
    <w:abstractNumId w:val="14"/>
  </w:num>
  <w:num w:numId="36">
    <w:abstractNumId w:val="16"/>
  </w:num>
  <w:num w:numId="37">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en-US" w:vendorID="64" w:dllVersion="131078" w:nlCheck="1" w:checkStyle="1"/>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2F7E"/>
    <w:rsid w:val="00005FE9"/>
    <w:rsid w:val="00007151"/>
    <w:rsid w:val="000076C2"/>
    <w:rsid w:val="00007DCD"/>
    <w:rsid w:val="00010561"/>
    <w:rsid w:val="00010EFB"/>
    <w:rsid w:val="000167B8"/>
    <w:rsid w:val="0002493B"/>
    <w:rsid w:val="00026133"/>
    <w:rsid w:val="00027333"/>
    <w:rsid w:val="00030464"/>
    <w:rsid w:val="00032EDE"/>
    <w:rsid w:val="000364F7"/>
    <w:rsid w:val="00036E25"/>
    <w:rsid w:val="00037C20"/>
    <w:rsid w:val="00040153"/>
    <w:rsid w:val="00040CF1"/>
    <w:rsid w:val="00041516"/>
    <w:rsid w:val="000417E2"/>
    <w:rsid w:val="00043159"/>
    <w:rsid w:val="0004517D"/>
    <w:rsid w:val="00050C50"/>
    <w:rsid w:val="00051AE7"/>
    <w:rsid w:val="00051DD7"/>
    <w:rsid w:val="0005385E"/>
    <w:rsid w:val="00053AE8"/>
    <w:rsid w:val="0005446F"/>
    <w:rsid w:val="00055072"/>
    <w:rsid w:val="00056850"/>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6878"/>
    <w:rsid w:val="00086CD2"/>
    <w:rsid w:val="000879A9"/>
    <w:rsid w:val="00087F35"/>
    <w:rsid w:val="00090987"/>
    <w:rsid w:val="00092841"/>
    <w:rsid w:val="0009286D"/>
    <w:rsid w:val="000947DF"/>
    <w:rsid w:val="000958D8"/>
    <w:rsid w:val="000972FD"/>
    <w:rsid w:val="00097737"/>
    <w:rsid w:val="000A1A71"/>
    <w:rsid w:val="000A3B36"/>
    <w:rsid w:val="000A48F1"/>
    <w:rsid w:val="000A4A2A"/>
    <w:rsid w:val="000A5F76"/>
    <w:rsid w:val="000A7A2C"/>
    <w:rsid w:val="000B013D"/>
    <w:rsid w:val="000B0983"/>
    <w:rsid w:val="000B1236"/>
    <w:rsid w:val="000B614E"/>
    <w:rsid w:val="000B79F6"/>
    <w:rsid w:val="000C1D59"/>
    <w:rsid w:val="000C2CD5"/>
    <w:rsid w:val="000C32D7"/>
    <w:rsid w:val="000C4AE6"/>
    <w:rsid w:val="000C6C88"/>
    <w:rsid w:val="000C6E69"/>
    <w:rsid w:val="000D0118"/>
    <w:rsid w:val="000D1B17"/>
    <w:rsid w:val="000D1CDA"/>
    <w:rsid w:val="000D2203"/>
    <w:rsid w:val="000D24E3"/>
    <w:rsid w:val="000D27D0"/>
    <w:rsid w:val="000D2B44"/>
    <w:rsid w:val="000D40DB"/>
    <w:rsid w:val="000D4A00"/>
    <w:rsid w:val="000D4C36"/>
    <w:rsid w:val="000D5F1B"/>
    <w:rsid w:val="000D66C0"/>
    <w:rsid w:val="000E0AE8"/>
    <w:rsid w:val="000E0DB4"/>
    <w:rsid w:val="000E291F"/>
    <w:rsid w:val="000E4C6C"/>
    <w:rsid w:val="000E7B75"/>
    <w:rsid w:val="000F124B"/>
    <w:rsid w:val="000F1339"/>
    <w:rsid w:val="000F1EA7"/>
    <w:rsid w:val="000F5F5F"/>
    <w:rsid w:val="00100085"/>
    <w:rsid w:val="00103348"/>
    <w:rsid w:val="00103913"/>
    <w:rsid w:val="0010447B"/>
    <w:rsid w:val="00104B37"/>
    <w:rsid w:val="0010518E"/>
    <w:rsid w:val="00107EA1"/>
    <w:rsid w:val="00111B28"/>
    <w:rsid w:val="00111CFF"/>
    <w:rsid w:val="00112739"/>
    <w:rsid w:val="00115916"/>
    <w:rsid w:val="00115A3D"/>
    <w:rsid w:val="001160E5"/>
    <w:rsid w:val="00116A45"/>
    <w:rsid w:val="0012084F"/>
    <w:rsid w:val="00121DE4"/>
    <w:rsid w:val="001239FF"/>
    <w:rsid w:val="00123EDC"/>
    <w:rsid w:val="00124409"/>
    <w:rsid w:val="001252C0"/>
    <w:rsid w:val="0012677D"/>
    <w:rsid w:val="0013002E"/>
    <w:rsid w:val="001302A7"/>
    <w:rsid w:val="001309AB"/>
    <w:rsid w:val="00130EF1"/>
    <w:rsid w:val="001320DF"/>
    <w:rsid w:val="00134586"/>
    <w:rsid w:val="00144A7D"/>
    <w:rsid w:val="0014659F"/>
    <w:rsid w:val="00150767"/>
    <w:rsid w:val="001515E4"/>
    <w:rsid w:val="001536B3"/>
    <w:rsid w:val="00156114"/>
    <w:rsid w:val="00157C6D"/>
    <w:rsid w:val="00157DEE"/>
    <w:rsid w:val="00162097"/>
    <w:rsid w:val="001645AC"/>
    <w:rsid w:val="00164F15"/>
    <w:rsid w:val="00170AA7"/>
    <w:rsid w:val="001719EB"/>
    <w:rsid w:val="00171A6E"/>
    <w:rsid w:val="00171C45"/>
    <w:rsid w:val="00174382"/>
    <w:rsid w:val="001744F6"/>
    <w:rsid w:val="001766D9"/>
    <w:rsid w:val="00177A3D"/>
    <w:rsid w:val="00177BF7"/>
    <w:rsid w:val="00180444"/>
    <w:rsid w:val="00181980"/>
    <w:rsid w:val="00182EF4"/>
    <w:rsid w:val="00183955"/>
    <w:rsid w:val="00184D00"/>
    <w:rsid w:val="00185973"/>
    <w:rsid w:val="00185C2F"/>
    <w:rsid w:val="00187253"/>
    <w:rsid w:val="00192430"/>
    <w:rsid w:val="001932AF"/>
    <w:rsid w:val="001937B4"/>
    <w:rsid w:val="00195CE1"/>
    <w:rsid w:val="001976A6"/>
    <w:rsid w:val="001A1207"/>
    <w:rsid w:val="001A2BC4"/>
    <w:rsid w:val="001A64D9"/>
    <w:rsid w:val="001A6C79"/>
    <w:rsid w:val="001B29E8"/>
    <w:rsid w:val="001B38DA"/>
    <w:rsid w:val="001B5454"/>
    <w:rsid w:val="001B660A"/>
    <w:rsid w:val="001C02B6"/>
    <w:rsid w:val="001C3D34"/>
    <w:rsid w:val="001C4EF8"/>
    <w:rsid w:val="001C7726"/>
    <w:rsid w:val="001D0532"/>
    <w:rsid w:val="001D20C7"/>
    <w:rsid w:val="001D339B"/>
    <w:rsid w:val="001D4292"/>
    <w:rsid w:val="001D51F8"/>
    <w:rsid w:val="001E377F"/>
    <w:rsid w:val="001E4648"/>
    <w:rsid w:val="001E4A7B"/>
    <w:rsid w:val="001E7D1F"/>
    <w:rsid w:val="001F0DE5"/>
    <w:rsid w:val="001F1580"/>
    <w:rsid w:val="001F410B"/>
    <w:rsid w:val="001F4FB6"/>
    <w:rsid w:val="001F5421"/>
    <w:rsid w:val="001F7658"/>
    <w:rsid w:val="001F7C10"/>
    <w:rsid w:val="002012E1"/>
    <w:rsid w:val="00201C47"/>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F9E"/>
    <w:rsid w:val="002409CB"/>
    <w:rsid w:val="002409FE"/>
    <w:rsid w:val="002426D3"/>
    <w:rsid w:val="002441E8"/>
    <w:rsid w:val="002442B7"/>
    <w:rsid w:val="002455C7"/>
    <w:rsid w:val="002456F1"/>
    <w:rsid w:val="002463B3"/>
    <w:rsid w:val="002476C5"/>
    <w:rsid w:val="0025137A"/>
    <w:rsid w:val="002514D1"/>
    <w:rsid w:val="0025177E"/>
    <w:rsid w:val="00251EA1"/>
    <w:rsid w:val="00252123"/>
    <w:rsid w:val="00253324"/>
    <w:rsid w:val="002550DD"/>
    <w:rsid w:val="00255693"/>
    <w:rsid w:val="002560BB"/>
    <w:rsid w:val="002561C8"/>
    <w:rsid w:val="00257CB1"/>
    <w:rsid w:val="002631C5"/>
    <w:rsid w:val="00264ACD"/>
    <w:rsid w:val="0026542C"/>
    <w:rsid w:val="00266552"/>
    <w:rsid w:val="00266C6F"/>
    <w:rsid w:val="00270B57"/>
    <w:rsid w:val="00271700"/>
    <w:rsid w:val="00272A7B"/>
    <w:rsid w:val="00272D32"/>
    <w:rsid w:val="0027489F"/>
    <w:rsid w:val="0028364A"/>
    <w:rsid w:val="00284296"/>
    <w:rsid w:val="00290561"/>
    <w:rsid w:val="00294190"/>
    <w:rsid w:val="00297AE5"/>
    <w:rsid w:val="002A0041"/>
    <w:rsid w:val="002A1860"/>
    <w:rsid w:val="002A2D36"/>
    <w:rsid w:val="002A43CB"/>
    <w:rsid w:val="002A6367"/>
    <w:rsid w:val="002A6CB1"/>
    <w:rsid w:val="002B1865"/>
    <w:rsid w:val="002B6401"/>
    <w:rsid w:val="002B7402"/>
    <w:rsid w:val="002C1EAD"/>
    <w:rsid w:val="002C649A"/>
    <w:rsid w:val="002C7223"/>
    <w:rsid w:val="002D0CE1"/>
    <w:rsid w:val="002D17D2"/>
    <w:rsid w:val="002D1FCC"/>
    <w:rsid w:val="002D2FC0"/>
    <w:rsid w:val="002D4AC1"/>
    <w:rsid w:val="002D6EED"/>
    <w:rsid w:val="002E105B"/>
    <w:rsid w:val="002E1FB2"/>
    <w:rsid w:val="002E23F4"/>
    <w:rsid w:val="002E4C1B"/>
    <w:rsid w:val="002F1222"/>
    <w:rsid w:val="002F1E5F"/>
    <w:rsid w:val="002F48D0"/>
    <w:rsid w:val="002F530E"/>
    <w:rsid w:val="002F559C"/>
    <w:rsid w:val="002F60F8"/>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220E"/>
    <w:rsid w:val="00343102"/>
    <w:rsid w:val="0034393A"/>
    <w:rsid w:val="00346DE3"/>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251B"/>
    <w:rsid w:val="00384ABB"/>
    <w:rsid w:val="00384BAB"/>
    <w:rsid w:val="00385FFC"/>
    <w:rsid w:val="00386409"/>
    <w:rsid w:val="00386DB1"/>
    <w:rsid w:val="00387C56"/>
    <w:rsid w:val="003902B3"/>
    <w:rsid w:val="00391D90"/>
    <w:rsid w:val="003925E9"/>
    <w:rsid w:val="00392A7E"/>
    <w:rsid w:val="00394E9F"/>
    <w:rsid w:val="003A02A1"/>
    <w:rsid w:val="003A474A"/>
    <w:rsid w:val="003A66B0"/>
    <w:rsid w:val="003B1AB7"/>
    <w:rsid w:val="003B3C9C"/>
    <w:rsid w:val="003B48B4"/>
    <w:rsid w:val="003C0747"/>
    <w:rsid w:val="003C3B2A"/>
    <w:rsid w:val="003C6C9C"/>
    <w:rsid w:val="003C7266"/>
    <w:rsid w:val="003C735E"/>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245C"/>
    <w:rsid w:val="00403B25"/>
    <w:rsid w:val="0040595A"/>
    <w:rsid w:val="00405BF8"/>
    <w:rsid w:val="00406943"/>
    <w:rsid w:val="004072FA"/>
    <w:rsid w:val="004105A1"/>
    <w:rsid w:val="00413FAE"/>
    <w:rsid w:val="00417269"/>
    <w:rsid w:val="00420666"/>
    <w:rsid w:val="00420F10"/>
    <w:rsid w:val="00421363"/>
    <w:rsid w:val="0042695A"/>
    <w:rsid w:val="004272A7"/>
    <w:rsid w:val="004300D4"/>
    <w:rsid w:val="004316F0"/>
    <w:rsid w:val="004365AD"/>
    <w:rsid w:val="00437927"/>
    <w:rsid w:val="00442FF2"/>
    <w:rsid w:val="004434F8"/>
    <w:rsid w:val="0045310F"/>
    <w:rsid w:val="004531C7"/>
    <w:rsid w:val="00453BD6"/>
    <w:rsid w:val="004554CB"/>
    <w:rsid w:val="00456FAE"/>
    <w:rsid w:val="004607CD"/>
    <w:rsid w:val="0046122C"/>
    <w:rsid w:val="00461AB4"/>
    <w:rsid w:val="00462394"/>
    <w:rsid w:val="00463F73"/>
    <w:rsid w:val="00466CC1"/>
    <w:rsid w:val="004674C4"/>
    <w:rsid w:val="004723DE"/>
    <w:rsid w:val="00473A75"/>
    <w:rsid w:val="00476547"/>
    <w:rsid w:val="00476D3D"/>
    <w:rsid w:val="004775D2"/>
    <w:rsid w:val="0047783A"/>
    <w:rsid w:val="00482933"/>
    <w:rsid w:val="00483E26"/>
    <w:rsid w:val="0048742A"/>
    <w:rsid w:val="00487730"/>
    <w:rsid w:val="0049088E"/>
    <w:rsid w:val="004925DF"/>
    <w:rsid w:val="004936A8"/>
    <w:rsid w:val="00494168"/>
    <w:rsid w:val="004A0140"/>
    <w:rsid w:val="004A101E"/>
    <w:rsid w:val="004A25BD"/>
    <w:rsid w:val="004A2DBE"/>
    <w:rsid w:val="004A4551"/>
    <w:rsid w:val="004A5CA1"/>
    <w:rsid w:val="004A7ED9"/>
    <w:rsid w:val="004B21D7"/>
    <w:rsid w:val="004B5C33"/>
    <w:rsid w:val="004B7893"/>
    <w:rsid w:val="004C265E"/>
    <w:rsid w:val="004C35B5"/>
    <w:rsid w:val="004C43A5"/>
    <w:rsid w:val="004D20F9"/>
    <w:rsid w:val="004D2FD8"/>
    <w:rsid w:val="004D4FDE"/>
    <w:rsid w:val="004D6D1E"/>
    <w:rsid w:val="004D72C2"/>
    <w:rsid w:val="004E16BB"/>
    <w:rsid w:val="004E68CF"/>
    <w:rsid w:val="004F1264"/>
    <w:rsid w:val="004F2D4B"/>
    <w:rsid w:val="004F5C57"/>
    <w:rsid w:val="004F6EE9"/>
    <w:rsid w:val="004F7E7A"/>
    <w:rsid w:val="005005D7"/>
    <w:rsid w:val="00501FF0"/>
    <w:rsid w:val="0050273F"/>
    <w:rsid w:val="00502B15"/>
    <w:rsid w:val="00503427"/>
    <w:rsid w:val="00506A24"/>
    <w:rsid w:val="005071E3"/>
    <w:rsid w:val="00510A01"/>
    <w:rsid w:val="00515616"/>
    <w:rsid w:val="00516552"/>
    <w:rsid w:val="00521CE8"/>
    <w:rsid w:val="00526740"/>
    <w:rsid w:val="00531CAA"/>
    <w:rsid w:val="00533C8D"/>
    <w:rsid w:val="00535826"/>
    <w:rsid w:val="00536B4A"/>
    <w:rsid w:val="00537189"/>
    <w:rsid w:val="00542B8F"/>
    <w:rsid w:val="00542E0F"/>
    <w:rsid w:val="00545957"/>
    <w:rsid w:val="00552278"/>
    <w:rsid w:val="00553C0A"/>
    <w:rsid w:val="00555BFC"/>
    <w:rsid w:val="00556923"/>
    <w:rsid w:val="00556C83"/>
    <w:rsid w:val="00561872"/>
    <w:rsid w:val="005634B2"/>
    <w:rsid w:val="0056553C"/>
    <w:rsid w:val="00567FD8"/>
    <w:rsid w:val="00570282"/>
    <w:rsid w:val="00574219"/>
    <w:rsid w:val="00575CB0"/>
    <w:rsid w:val="00580F0C"/>
    <w:rsid w:val="00582894"/>
    <w:rsid w:val="00586D6C"/>
    <w:rsid w:val="00587BC9"/>
    <w:rsid w:val="00591F23"/>
    <w:rsid w:val="00593550"/>
    <w:rsid w:val="0059371A"/>
    <w:rsid w:val="00597C67"/>
    <w:rsid w:val="005A2643"/>
    <w:rsid w:val="005A3424"/>
    <w:rsid w:val="005A3D33"/>
    <w:rsid w:val="005B2018"/>
    <w:rsid w:val="005B2646"/>
    <w:rsid w:val="005B35D7"/>
    <w:rsid w:val="005B75F7"/>
    <w:rsid w:val="005B767B"/>
    <w:rsid w:val="005C0EA1"/>
    <w:rsid w:val="005C1201"/>
    <w:rsid w:val="005C124C"/>
    <w:rsid w:val="005C1D41"/>
    <w:rsid w:val="005C3558"/>
    <w:rsid w:val="005D72F7"/>
    <w:rsid w:val="005E0B76"/>
    <w:rsid w:val="005E2EE8"/>
    <w:rsid w:val="005E5696"/>
    <w:rsid w:val="005E7E79"/>
    <w:rsid w:val="005F1EC7"/>
    <w:rsid w:val="005F1F05"/>
    <w:rsid w:val="005F3C51"/>
    <w:rsid w:val="005F3E6B"/>
    <w:rsid w:val="005F62D0"/>
    <w:rsid w:val="005F7A76"/>
    <w:rsid w:val="005F7DC0"/>
    <w:rsid w:val="00601F75"/>
    <w:rsid w:val="00603B4B"/>
    <w:rsid w:val="00613E4C"/>
    <w:rsid w:val="00614AE9"/>
    <w:rsid w:val="00614DF8"/>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2FEF"/>
    <w:rsid w:val="006532E3"/>
    <w:rsid w:val="0065398D"/>
    <w:rsid w:val="00654F04"/>
    <w:rsid w:val="00656270"/>
    <w:rsid w:val="0066145D"/>
    <w:rsid w:val="00661B3C"/>
    <w:rsid w:val="00663BBD"/>
    <w:rsid w:val="0066519D"/>
    <w:rsid w:val="00670E5E"/>
    <w:rsid w:val="00675D72"/>
    <w:rsid w:val="00677500"/>
    <w:rsid w:val="0068247E"/>
    <w:rsid w:val="00682804"/>
    <w:rsid w:val="00684438"/>
    <w:rsid w:val="0069153C"/>
    <w:rsid w:val="00691664"/>
    <w:rsid w:val="006917B2"/>
    <w:rsid w:val="00692095"/>
    <w:rsid w:val="00694259"/>
    <w:rsid w:val="00696FDD"/>
    <w:rsid w:val="006A5F84"/>
    <w:rsid w:val="006B0532"/>
    <w:rsid w:val="006B0AB1"/>
    <w:rsid w:val="006B3EAE"/>
    <w:rsid w:val="006B5B42"/>
    <w:rsid w:val="006C2CE8"/>
    <w:rsid w:val="006C2F05"/>
    <w:rsid w:val="006C513D"/>
    <w:rsid w:val="006D3BA1"/>
    <w:rsid w:val="006D4CEC"/>
    <w:rsid w:val="006D653B"/>
    <w:rsid w:val="006E0EEA"/>
    <w:rsid w:val="006E1DB1"/>
    <w:rsid w:val="006E226A"/>
    <w:rsid w:val="006E324F"/>
    <w:rsid w:val="006E3CA5"/>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16419"/>
    <w:rsid w:val="00723015"/>
    <w:rsid w:val="00723C11"/>
    <w:rsid w:val="00724D0C"/>
    <w:rsid w:val="007253FF"/>
    <w:rsid w:val="007307A9"/>
    <w:rsid w:val="00732AAE"/>
    <w:rsid w:val="00733488"/>
    <w:rsid w:val="00733CA6"/>
    <w:rsid w:val="0073450F"/>
    <w:rsid w:val="00740F25"/>
    <w:rsid w:val="007423EF"/>
    <w:rsid w:val="00742505"/>
    <w:rsid w:val="0075003E"/>
    <w:rsid w:val="0075170F"/>
    <w:rsid w:val="007531D2"/>
    <w:rsid w:val="007533EA"/>
    <w:rsid w:val="0075384B"/>
    <w:rsid w:val="00754D2B"/>
    <w:rsid w:val="00755F6F"/>
    <w:rsid w:val="007563BB"/>
    <w:rsid w:val="007600CA"/>
    <w:rsid w:val="00760195"/>
    <w:rsid w:val="00761E70"/>
    <w:rsid w:val="007625F7"/>
    <w:rsid w:val="007629E1"/>
    <w:rsid w:val="00763B1C"/>
    <w:rsid w:val="007666CD"/>
    <w:rsid w:val="00767390"/>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A2060"/>
    <w:rsid w:val="007B10D9"/>
    <w:rsid w:val="007B15A3"/>
    <w:rsid w:val="007B65DB"/>
    <w:rsid w:val="007C0B91"/>
    <w:rsid w:val="007C0BDD"/>
    <w:rsid w:val="007C1656"/>
    <w:rsid w:val="007C4F61"/>
    <w:rsid w:val="007C6835"/>
    <w:rsid w:val="007C75E0"/>
    <w:rsid w:val="007D02BE"/>
    <w:rsid w:val="007D1893"/>
    <w:rsid w:val="007D5FA2"/>
    <w:rsid w:val="007D7D23"/>
    <w:rsid w:val="007E0CD5"/>
    <w:rsid w:val="007E122E"/>
    <w:rsid w:val="007E3D5F"/>
    <w:rsid w:val="007E597D"/>
    <w:rsid w:val="007E5CAB"/>
    <w:rsid w:val="007E64C1"/>
    <w:rsid w:val="007F634B"/>
    <w:rsid w:val="007F661B"/>
    <w:rsid w:val="007F6802"/>
    <w:rsid w:val="00802784"/>
    <w:rsid w:val="00803383"/>
    <w:rsid w:val="00806CE0"/>
    <w:rsid w:val="00811ACD"/>
    <w:rsid w:val="00811F58"/>
    <w:rsid w:val="00812003"/>
    <w:rsid w:val="0081263E"/>
    <w:rsid w:val="0081418B"/>
    <w:rsid w:val="00814C3A"/>
    <w:rsid w:val="00815C27"/>
    <w:rsid w:val="008163FF"/>
    <w:rsid w:val="00820AEF"/>
    <w:rsid w:val="008227A5"/>
    <w:rsid w:val="00822E7E"/>
    <w:rsid w:val="008253C8"/>
    <w:rsid w:val="008272ED"/>
    <w:rsid w:val="00830ACF"/>
    <w:rsid w:val="00834EA4"/>
    <w:rsid w:val="0084292E"/>
    <w:rsid w:val="00844694"/>
    <w:rsid w:val="00845115"/>
    <w:rsid w:val="00852D81"/>
    <w:rsid w:val="00853F9D"/>
    <w:rsid w:val="0085667F"/>
    <w:rsid w:val="008617F3"/>
    <w:rsid w:val="0086414D"/>
    <w:rsid w:val="008658F6"/>
    <w:rsid w:val="008670ED"/>
    <w:rsid w:val="0086759F"/>
    <w:rsid w:val="00870FD6"/>
    <w:rsid w:val="008718AA"/>
    <w:rsid w:val="00872830"/>
    <w:rsid w:val="008808CB"/>
    <w:rsid w:val="00880D7C"/>
    <w:rsid w:val="008847D1"/>
    <w:rsid w:val="00885882"/>
    <w:rsid w:val="008859E6"/>
    <w:rsid w:val="008915E9"/>
    <w:rsid w:val="00891D12"/>
    <w:rsid w:val="00892CE9"/>
    <w:rsid w:val="008934F5"/>
    <w:rsid w:val="008A048D"/>
    <w:rsid w:val="008A1182"/>
    <w:rsid w:val="008A2256"/>
    <w:rsid w:val="008A39B7"/>
    <w:rsid w:val="008B2A9C"/>
    <w:rsid w:val="008C14A7"/>
    <w:rsid w:val="008C284B"/>
    <w:rsid w:val="008C4E79"/>
    <w:rsid w:val="008C5A40"/>
    <w:rsid w:val="008C5DAA"/>
    <w:rsid w:val="008C787A"/>
    <w:rsid w:val="008E40E2"/>
    <w:rsid w:val="008E6C57"/>
    <w:rsid w:val="008E6D20"/>
    <w:rsid w:val="008E7470"/>
    <w:rsid w:val="008E7587"/>
    <w:rsid w:val="008F2E42"/>
    <w:rsid w:val="008F3866"/>
    <w:rsid w:val="008F3B55"/>
    <w:rsid w:val="008F3D27"/>
    <w:rsid w:val="0090127D"/>
    <w:rsid w:val="009018A4"/>
    <w:rsid w:val="009026C6"/>
    <w:rsid w:val="009030B0"/>
    <w:rsid w:val="00905F21"/>
    <w:rsid w:val="0091417F"/>
    <w:rsid w:val="009143FD"/>
    <w:rsid w:val="00917D02"/>
    <w:rsid w:val="00920A51"/>
    <w:rsid w:val="00920DBC"/>
    <w:rsid w:val="00922542"/>
    <w:rsid w:val="00924BC2"/>
    <w:rsid w:val="009251E3"/>
    <w:rsid w:val="0093582A"/>
    <w:rsid w:val="009423FB"/>
    <w:rsid w:val="00943C7B"/>
    <w:rsid w:val="0094670B"/>
    <w:rsid w:val="00947FC3"/>
    <w:rsid w:val="00950813"/>
    <w:rsid w:val="0095148A"/>
    <w:rsid w:val="009514EC"/>
    <w:rsid w:val="009521D0"/>
    <w:rsid w:val="0095284F"/>
    <w:rsid w:val="00961615"/>
    <w:rsid w:val="0096647C"/>
    <w:rsid w:val="00980A42"/>
    <w:rsid w:val="00985BEF"/>
    <w:rsid w:val="00986D62"/>
    <w:rsid w:val="00990FF8"/>
    <w:rsid w:val="00994AFD"/>
    <w:rsid w:val="009956B4"/>
    <w:rsid w:val="009976B3"/>
    <w:rsid w:val="00997B0F"/>
    <w:rsid w:val="009A313D"/>
    <w:rsid w:val="009A3792"/>
    <w:rsid w:val="009A3A53"/>
    <w:rsid w:val="009A538A"/>
    <w:rsid w:val="009A6F00"/>
    <w:rsid w:val="009B0CF1"/>
    <w:rsid w:val="009B1FBF"/>
    <w:rsid w:val="009B2F1F"/>
    <w:rsid w:val="009B422E"/>
    <w:rsid w:val="009B4D6F"/>
    <w:rsid w:val="009B5A6D"/>
    <w:rsid w:val="009B5FF5"/>
    <w:rsid w:val="009C0688"/>
    <w:rsid w:val="009C0E86"/>
    <w:rsid w:val="009C1AB9"/>
    <w:rsid w:val="009D012B"/>
    <w:rsid w:val="009D2938"/>
    <w:rsid w:val="009D3181"/>
    <w:rsid w:val="009D5314"/>
    <w:rsid w:val="009D5CB2"/>
    <w:rsid w:val="009E04E4"/>
    <w:rsid w:val="009E48A3"/>
    <w:rsid w:val="009E4FC6"/>
    <w:rsid w:val="009E5310"/>
    <w:rsid w:val="009E6BB7"/>
    <w:rsid w:val="009F1371"/>
    <w:rsid w:val="009F3126"/>
    <w:rsid w:val="00A039CA"/>
    <w:rsid w:val="00A04FBF"/>
    <w:rsid w:val="00A05DCA"/>
    <w:rsid w:val="00A068EC"/>
    <w:rsid w:val="00A10D10"/>
    <w:rsid w:val="00A11437"/>
    <w:rsid w:val="00A11F12"/>
    <w:rsid w:val="00A13743"/>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6251"/>
    <w:rsid w:val="00A56C0B"/>
    <w:rsid w:val="00A57C22"/>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0D11"/>
    <w:rsid w:val="00A93219"/>
    <w:rsid w:val="00A9509F"/>
    <w:rsid w:val="00AA24A4"/>
    <w:rsid w:val="00AA4766"/>
    <w:rsid w:val="00AA6CE1"/>
    <w:rsid w:val="00AA780B"/>
    <w:rsid w:val="00AB2157"/>
    <w:rsid w:val="00AB26E0"/>
    <w:rsid w:val="00AB29A9"/>
    <w:rsid w:val="00AB3AB0"/>
    <w:rsid w:val="00AB3D38"/>
    <w:rsid w:val="00AB4760"/>
    <w:rsid w:val="00AB5A11"/>
    <w:rsid w:val="00AB5ED5"/>
    <w:rsid w:val="00AB66A5"/>
    <w:rsid w:val="00AC07D4"/>
    <w:rsid w:val="00AC0DE2"/>
    <w:rsid w:val="00AC0E16"/>
    <w:rsid w:val="00AC2621"/>
    <w:rsid w:val="00AC58F6"/>
    <w:rsid w:val="00AC7636"/>
    <w:rsid w:val="00AD0140"/>
    <w:rsid w:val="00AD0D7A"/>
    <w:rsid w:val="00AD1130"/>
    <w:rsid w:val="00AD5536"/>
    <w:rsid w:val="00AE5192"/>
    <w:rsid w:val="00AE6600"/>
    <w:rsid w:val="00AE7D13"/>
    <w:rsid w:val="00AF2A32"/>
    <w:rsid w:val="00AF4052"/>
    <w:rsid w:val="00AF47CA"/>
    <w:rsid w:val="00AF507E"/>
    <w:rsid w:val="00B07102"/>
    <w:rsid w:val="00B07212"/>
    <w:rsid w:val="00B1032A"/>
    <w:rsid w:val="00B1165D"/>
    <w:rsid w:val="00B158B1"/>
    <w:rsid w:val="00B170EF"/>
    <w:rsid w:val="00B17A53"/>
    <w:rsid w:val="00B2499C"/>
    <w:rsid w:val="00B277E4"/>
    <w:rsid w:val="00B30528"/>
    <w:rsid w:val="00B3168E"/>
    <w:rsid w:val="00B3411B"/>
    <w:rsid w:val="00B35051"/>
    <w:rsid w:val="00B4108F"/>
    <w:rsid w:val="00B443C3"/>
    <w:rsid w:val="00B4454C"/>
    <w:rsid w:val="00B44B08"/>
    <w:rsid w:val="00B44C25"/>
    <w:rsid w:val="00B44DC5"/>
    <w:rsid w:val="00B4644C"/>
    <w:rsid w:val="00B4772C"/>
    <w:rsid w:val="00B50CF5"/>
    <w:rsid w:val="00B51209"/>
    <w:rsid w:val="00B525A7"/>
    <w:rsid w:val="00B54093"/>
    <w:rsid w:val="00B569B1"/>
    <w:rsid w:val="00B60082"/>
    <w:rsid w:val="00B61CED"/>
    <w:rsid w:val="00B62C69"/>
    <w:rsid w:val="00B631B7"/>
    <w:rsid w:val="00B63280"/>
    <w:rsid w:val="00B70C0E"/>
    <w:rsid w:val="00B7329A"/>
    <w:rsid w:val="00B76124"/>
    <w:rsid w:val="00B76702"/>
    <w:rsid w:val="00B80DE8"/>
    <w:rsid w:val="00B8161D"/>
    <w:rsid w:val="00B84EBC"/>
    <w:rsid w:val="00B86755"/>
    <w:rsid w:val="00B90C14"/>
    <w:rsid w:val="00B926B7"/>
    <w:rsid w:val="00B93930"/>
    <w:rsid w:val="00B965CD"/>
    <w:rsid w:val="00B9691D"/>
    <w:rsid w:val="00B96E4B"/>
    <w:rsid w:val="00B96F5E"/>
    <w:rsid w:val="00BA204C"/>
    <w:rsid w:val="00BA2D4C"/>
    <w:rsid w:val="00BA70CB"/>
    <w:rsid w:val="00BB2075"/>
    <w:rsid w:val="00BB2090"/>
    <w:rsid w:val="00BB2CCE"/>
    <w:rsid w:val="00BB51C8"/>
    <w:rsid w:val="00BB56D3"/>
    <w:rsid w:val="00BB65D4"/>
    <w:rsid w:val="00BB6CB4"/>
    <w:rsid w:val="00BB7E97"/>
    <w:rsid w:val="00BC112C"/>
    <w:rsid w:val="00BC163B"/>
    <w:rsid w:val="00BC200C"/>
    <w:rsid w:val="00BC2F6B"/>
    <w:rsid w:val="00BC3B75"/>
    <w:rsid w:val="00BC46F2"/>
    <w:rsid w:val="00BC6222"/>
    <w:rsid w:val="00BC65EE"/>
    <w:rsid w:val="00BD0512"/>
    <w:rsid w:val="00BD201F"/>
    <w:rsid w:val="00BD2FEA"/>
    <w:rsid w:val="00BD3371"/>
    <w:rsid w:val="00BD66DB"/>
    <w:rsid w:val="00BE34FF"/>
    <w:rsid w:val="00BE3AD8"/>
    <w:rsid w:val="00BF1A9A"/>
    <w:rsid w:val="00BF498A"/>
    <w:rsid w:val="00BF50A2"/>
    <w:rsid w:val="00BF56A6"/>
    <w:rsid w:val="00C0329C"/>
    <w:rsid w:val="00C055D9"/>
    <w:rsid w:val="00C07667"/>
    <w:rsid w:val="00C123BB"/>
    <w:rsid w:val="00C12AF0"/>
    <w:rsid w:val="00C13C29"/>
    <w:rsid w:val="00C144CA"/>
    <w:rsid w:val="00C17310"/>
    <w:rsid w:val="00C17606"/>
    <w:rsid w:val="00C21CF2"/>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492B"/>
    <w:rsid w:val="00C57367"/>
    <w:rsid w:val="00C60DD3"/>
    <w:rsid w:val="00C61055"/>
    <w:rsid w:val="00C61312"/>
    <w:rsid w:val="00C657F9"/>
    <w:rsid w:val="00C720C8"/>
    <w:rsid w:val="00C7322E"/>
    <w:rsid w:val="00C73F5E"/>
    <w:rsid w:val="00C75CCE"/>
    <w:rsid w:val="00C778A1"/>
    <w:rsid w:val="00C80299"/>
    <w:rsid w:val="00C81B22"/>
    <w:rsid w:val="00C8328B"/>
    <w:rsid w:val="00C83317"/>
    <w:rsid w:val="00C84AC6"/>
    <w:rsid w:val="00C85C8A"/>
    <w:rsid w:val="00C85F4A"/>
    <w:rsid w:val="00C86724"/>
    <w:rsid w:val="00C87F4C"/>
    <w:rsid w:val="00C92434"/>
    <w:rsid w:val="00C96B7C"/>
    <w:rsid w:val="00C976DE"/>
    <w:rsid w:val="00C979CE"/>
    <w:rsid w:val="00CA1354"/>
    <w:rsid w:val="00CA1363"/>
    <w:rsid w:val="00CA618A"/>
    <w:rsid w:val="00CA6C68"/>
    <w:rsid w:val="00CA6FE4"/>
    <w:rsid w:val="00CA7FAB"/>
    <w:rsid w:val="00CB30AA"/>
    <w:rsid w:val="00CB3E27"/>
    <w:rsid w:val="00CB4E1D"/>
    <w:rsid w:val="00CC1A28"/>
    <w:rsid w:val="00CC4B6D"/>
    <w:rsid w:val="00CC6171"/>
    <w:rsid w:val="00CC6A3F"/>
    <w:rsid w:val="00CC7DE2"/>
    <w:rsid w:val="00CD7F25"/>
    <w:rsid w:val="00CD7F92"/>
    <w:rsid w:val="00CE16A1"/>
    <w:rsid w:val="00CE4FDE"/>
    <w:rsid w:val="00CF2D8C"/>
    <w:rsid w:val="00CF2DE2"/>
    <w:rsid w:val="00CF30C4"/>
    <w:rsid w:val="00CF48EA"/>
    <w:rsid w:val="00CF63C2"/>
    <w:rsid w:val="00CF6CFA"/>
    <w:rsid w:val="00D00E91"/>
    <w:rsid w:val="00D00FA6"/>
    <w:rsid w:val="00D02E23"/>
    <w:rsid w:val="00D03108"/>
    <w:rsid w:val="00D04484"/>
    <w:rsid w:val="00D077D2"/>
    <w:rsid w:val="00D07A31"/>
    <w:rsid w:val="00D1398A"/>
    <w:rsid w:val="00D15C09"/>
    <w:rsid w:val="00D16ADA"/>
    <w:rsid w:val="00D17B81"/>
    <w:rsid w:val="00D17EE8"/>
    <w:rsid w:val="00D21056"/>
    <w:rsid w:val="00D243E7"/>
    <w:rsid w:val="00D24469"/>
    <w:rsid w:val="00D24893"/>
    <w:rsid w:val="00D312D2"/>
    <w:rsid w:val="00D33BE3"/>
    <w:rsid w:val="00D37459"/>
    <w:rsid w:val="00D37E3E"/>
    <w:rsid w:val="00D40ADF"/>
    <w:rsid w:val="00D43612"/>
    <w:rsid w:val="00D44362"/>
    <w:rsid w:val="00D45256"/>
    <w:rsid w:val="00D4697C"/>
    <w:rsid w:val="00D515DB"/>
    <w:rsid w:val="00D52CBF"/>
    <w:rsid w:val="00D54C28"/>
    <w:rsid w:val="00D576CA"/>
    <w:rsid w:val="00D62067"/>
    <w:rsid w:val="00D621D6"/>
    <w:rsid w:val="00D63644"/>
    <w:rsid w:val="00D662AA"/>
    <w:rsid w:val="00D6653E"/>
    <w:rsid w:val="00D66F04"/>
    <w:rsid w:val="00D678AC"/>
    <w:rsid w:val="00D71AF3"/>
    <w:rsid w:val="00D72793"/>
    <w:rsid w:val="00D735D6"/>
    <w:rsid w:val="00D73E36"/>
    <w:rsid w:val="00D75213"/>
    <w:rsid w:val="00D83D1B"/>
    <w:rsid w:val="00D85561"/>
    <w:rsid w:val="00D8732D"/>
    <w:rsid w:val="00D90043"/>
    <w:rsid w:val="00D90831"/>
    <w:rsid w:val="00D920CD"/>
    <w:rsid w:val="00D92BA6"/>
    <w:rsid w:val="00D92FC8"/>
    <w:rsid w:val="00D93F90"/>
    <w:rsid w:val="00D950BA"/>
    <w:rsid w:val="00D979C6"/>
    <w:rsid w:val="00D97FDC"/>
    <w:rsid w:val="00DA4AB8"/>
    <w:rsid w:val="00DA4D57"/>
    <w:rsid w:val="00DB5F3B"/>
    <w:rsid w:val="00DB7EEF"/>
    <w:rsid w:val="00DC0881"/>
    <w:rsid w:val="00DC1645"/>
    <w:rsid w:val="00DC50E2"/>
    <w:rsid w:val="00DC54A0"/>
    <w:rsid w:val="00DC6C9C"/>
    <w:rsid w:val="00DC750B"/>
    <w:rsid w:val="00DC7EB2"/>
    <w:rsid w:val="00DD005F"/>
    <w:rsid w:val="00DD0624"/>
    <w:rsid w:val="00DD13B0"/>
    <w:rsid w:val="00DD6678"/>
    <w:rsid w:val="00DE13B8"/>
    <w:rsid w:val="00DE19B1"/>
    <w:rsid w:val="00DE378C"/>
    <w:rsid w:val="00DE7055"/>
    <w:rsid w:val="00DE71AB"/>
    <w:rsid w:val="00DF1A94"/>
    <w:rsid w:val="00DF25C5"/>
    <w:rsid w:val="00DF2FF3"/>
    <w:rsid w:val="00DF3134"/>
    <w:rsid w:val="00DF4031"/>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04E"/>
    <w:rsid w:val="00E2682A"/>
    <w:rsid w:val="00E27678"/>
    <w:rsid w:val="00E27B37"/>
    <w:rsid w:val="00E3200D"/>
    <w:rsid w:val="00E340A7"/>
    <w:rsid w:val="00E34208"/>
    <w:rsid w:val="00E37290"/>
    <w:rsid w:val="00E37A55"/>
    <w:rsid w:val="00E41C6F"/>
    <w:rsid w:val="00E45107"/>
    <w:rsid w:val="00E452BC"/>
    <w:rsid w:val="00E469FA"/>
    <w:rsid w:val="00E47B5D"/>
    <w:rsid w:val="00E47F4C"/>
    <w:rsid w:val="00E52467"/>
    <w:rsid w:val="00E52D98"/>
    <w:rsid w:val="00E544F9"/>
    <w:rsid w:val="00E54B1B"/>
    <w:rsid w:val="00E571E1"/>
    <w:rsid w:val="00E57809"/>
    <w:rsid w:val="00E603B8"/>
    <w:rsid w:val="00E60A37"/>
    <w:rsid w:val="00E6170C"/>
    <w:rsid w:val="00E62221"/>
    <w:rsid w:val="00E62923"/>
    <w:rsid w:val="00E62F5F"/>
    <w:rsid w:val="00E637DD"/>
    <w:rsid w:val="00E65BB2"/>
    <w:rsid w:val="00E66FD7"/>
    <w:rsid w:val="00E71C9B"/>
    <w:rsid w:val="00E72143"/>
    <w:rsid w:val="00E730A5"/>
    <w:rsid w:val="00E75503"/>
    <w:rsid w:val="00E80269"/>
    <w:rsid w:val="00E811F3"/>
    <w:rsid w:val="00E82463"/>
    <w:rsid w:val="00E84351"/>
    <w:rsid w:val="00E84F50"/>
    <w:rsid w:val="00E85F91"/>
    <w:rsid w:val="00E93182"/>
    <w:rsid w:val="00E932EE"/>
    <w:rsid w:val="00E93A21"/>
    <w:rsid w:val="00E94212"/>
    <w:rsid w:val="00E96D0F"/>
    <w:rsid w:val="00E97519"/>
    <w:rsid w:val="00EA1ADC"/>
    <w:rsid w:val="00EA23A7"/>
    <w:rsid w:val="00EA75C1"/>
    <w:rsid w:val="00EB1B5D"/>
    <w:rsid w:val="00EB295F"/>
    <w:rsid w:val="00EB3B91"/>
    <w:rsid w:val="00EB560F"/>
    <w:rsid w:val="00EB78F4"/>
    <w:rsid w:val="00EC0770"/>
    <w:rsid w:val="00EC0DD2"/>
    <w:rsid w:val="00EC16F8"/>
    <w:rsid w:val="00EC2910"/>
    <w:rsid w:val="00EC2A8D"/>
    <w:rsid w:val="00EC48C8"/>
    <w:rsid w:val="00EC4FD6"/>
    <w:rsid w:val="00EC571A"/>
    <w:rsid w:val="00EC67B1"/>
    <w:rsid w:val="00ED0949"/>
    <w:rsid w:val="00ED13D2"/>
    <w:rsid w:val="00ED219D"/>
    <w:rsid w:val="00ED3206"/>
    <w:rsid w:val="00ED61DF"/>
    <w:rsid w:val="00EE0ED9"/>
    <w:rsid w:val="00EE109E"/>
    <w:rsid w:val="00EE23B1"/>
    <w:rsid w:val="00EE2E55"/>
    <w:rsid w:val="00EE382A"/>
    <w:rsid w:val="00EE3EB0"/>
    <w:rsid w:val="00EE6BC0"/>
    <w:rsid w:val="00EE7E2A"/>
    <w:rsid w:val="00EF08B7"/>
    <w:rsid w:val="00EF1C05"/>
    <w:rsid w:val="00EF2700"/>
    <w:rsid w:val="00EF277A"/>
    <w:rsid w:val="00EF3951"/>
    <w:rsid w:val="00EF6426"/>
    <w:rsid w:val="00F01A04"/>
    <w:rsid w:val="00F02006"/>
    <w:rsid w:val="00F041A6"/>
    <w:rsid w:val="00F0574A"/>
    <w:rsid w:val="00F10944"/>
    <w:rsid w:val="00F163FF"/>
    <w:rsid w:val="00F166D4"/>
    <w:rsid w:val="00F16860"/>
    <w:rsid w:val="00F25C38"/>
    <w:rsid w:val="00F33A99"/>
    <w:rsid w:val="00F35DE1"/>
    <w:rsid w:val="00F40E0E"/>
    <w:rsid w:val="00F41538"/>
    <w:rsid w:val="00F42488"/>
    <w:rsid w:val="00F45106"/>
    <w:rsid w:val="00F4528C"/>
    <w:rsid w:val="00F5422C"/>
    <w:rsid w:val="00F560DD"/>
    <w:rsid w:val="00F56D4C"/>
    <w:rsid w:val="00F63914"/>
    <w:rsid w:val="00F652E9"/>
    <w:rsid w:val="00F658F3"/>
    <w:rsid w:val="00F65A20"/>
    <w:rsid w:val="00F669D4"/>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5673"/>
    <w:rsid w:val="00FC6A15"/>
    <w:rsid w:val="00FC6AA4"/>
    <w:rsid w:val="00FD23CD"/>
    <w:rsid w:val="00FD4F5A"/>
    <w:rsid w:val="00FD68B9"/>
    <w:rsid w:val="00FD6CB9"/>
    <w:rsid w:val="00FD7D89"/>
    <w:rsid w:val="00FE3081"/>
    <w:rsid w:val="00FE3E3B"/>
    <w:rsid w:val="00FE7D87"/>
    <w:rsid w:val="00FF0134"/>
    <w:rsid w:val="00FF216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219"/>
    <w:pPr>
      <w:spacing w:before="120" w:after="120"/>
    </w:pPr>
    <w:rPr>
      <w:rFonts w:ascii="Arial" w:hAnsi="Arial"/>
      <w:snapToGrid w:val="0"/>
      <w:lang w:val="en-GB" w:eastAsia="en-US"/>
    </w:rPr>
  </w:style>
  <w:style w:type="paragraph" w:styleId="Heading1">
    <w:name w:val="heading 1"/>
    <w:basedOn w:val="Normal"/>
    <w:next w:val="Normal"/>
    <w:link w:val="Heading1Char1"/>
    <w:autoRedefine/>
    <w:qFormat/>
    <w:rsid w:val="00D45256"/>
    <w:pPr>
      <w:keepNext/>
      <w:spacing w:before="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rsid w:val="00DC750B"/>
    <w:pPr>
      <w:keepNext/>
      <w:outlineLvl w:val="1"/>
    </w:pPr>
    <w:rPr>
      <w:lang w:val="fr-BE"/>
    </w:rPr>
  </w:style>
  <w:style w:type="paragraph" w:styleId="Heading3">
    <w:name w:val="heading 3"/>
    <w:basedOn w:val="Normal"/>
    <w:next w:val="Normal"/>
    <w:link w:val="Heading3Char"/>
    <w:qFormat/>
    <w:rsid w:val="00DC750B"/>
    <w:pPr>
      <w:keepNext/>
      <w:framePr w:hSpace="181" w:vSpace="181" w:wrap="auto" w:vAnchor="text" w:hAnchor="text" w:y="1"/>
      <w:outlineLvl w:val="2"/>
    </w:pPr>
  </w:style>
  <w:style w:type="paragraph" w:styleId="Heading4">
    <w:name w:val="heading 4"/>
    <w:basedOn w:val="Normal"/>
    <w:next w:val="Normal"/>
    <w:link w:val="Heading4Char"/>
    <w:qFormat/>
    <w:rsid w:val="00DC750B"/>
    <w:pPr>
      <w:keepNext/>
      <w:numPr>
        <w:ilvl w:val="3"/>
        <w:numId w:val="2"/>
      </w:numPr>
      <w:spacing w:before="240" w:after="60"/>
      <w:outlineLvl w:val="3"/>
    </w:pPr>
    <w:rPr>
      <w:b/>
      <w:sz w:val="24"/>
    </w:rPr>
  </w:style>
  <w:style w:type="paragraph" w:styleId="Heading5">
    <w:name w:val="heading 5"/>
    <w:basedOn w:val="Normal"/>
    <w:next w:val="Normal"/>
    <w:link w:val="Heading5Char"/>
    <w:qFormat/>
    <w:rsid w:val="00DC750B"/>
    <w:pPr>
      <w:numPr>
        <w:ilvl w:val="4"/>
        <w:numId w:val="2"/>
      </w:numPr>
      <w:spacing w:before="240" w:after="60"/>
      <w:outlineLvl w:val="4"/>
    </w:pPr>
    <w:rPr>
      <w:sz w:val="22"/>
    </w:rPr>
  </w:style>
  <w:style w:type="paragraph" w:styleId="Heading6">
    <w:name w:val="heading 6"/>
    <w:basedOn w:val="Normal"/>
    <w:next w:val="Normal"/>
    <w:link w:val="Heading6Char"/>
    <w:qFormat/>
    <w:rsid w:val="00DC750B"/>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DC750B"/>
    <w:pPr>
      <w:numPr>
        <w:ilvl w:val="6"/>
        <w:numId w:val="2"/>
      </w:numPr>
      <w:spacing w:before="240" w:after="60"/>
      <w:outlineLvl w:val="6"/>
    </w:pPr>
  </w:style>
  <w:style w:type="paragraph" w:styleId="Heading8">
    <w:name w:val="heading 8"/>
    <w:basedOn w:val="Normal"/>
    <w:next w:val="Normal"/>
    <w:link w:val="Heading8Char"/>
    <w:qFormat/>
    <w:rsid w:val="00DC750B"/>
    <w:pPr>
      <w:numPr>
        <w:ilvl w:val="7"/>
        <w:numId w:val="2"/>
      </w:numPr>
      <w:spacing w:before="240" w:after="60"/>
      <w:outlineLvl w:val="7"/>
    </w:pPr>
    <w:rPr>
      <w:i/>
    </w:rPr>
  </w:style>
  <w:style w:type="paragraph" w:styleId="Heading9">
    <w:name w:val="heading 9"/>
    <w:basedOn w:val="Normal"/>
    <w:next w:val="Normal"/>
    <w:link w:val="Heading9Char"/>
    <w:qFormat/>
    <w:rsid w:val="00DC750B"/>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50B"/>
    <w:pPr>
      <w:jc w:val="center"/>
    </w:pPr>
    <w:rPr>
      <w:b/>
      <w:sz w:val="28"/>
      <w:lang w:val="fr-BE"/>
    </w:rPr>
  </w:style>
  <w:style w:type="paragraph" w:styleId="Subtitle">
    <w:name w:val="Subtitle"/>
    <w:basedOn w:val="Normal"/>
    <w:link w:val="SubtitleChar"/>
    <w:qFormat/>
    <w:rsid w:val="00DC750B"/>
    <w:pPr>
      <w:jc w:val="center"/>
    </w:pPr>
    <w:rPr>
      <w:b/>
      <w:sz w:val="28"/>
      <w:lang w:val="fr-BE"/>
    </w:rPr>
  </w:style>
  <w:style w:type="paragraph" w:styleId="BodyTextIndent">
    <w:name w:val="Body Text Indent"/>
    <w:basedOn w:val="Normal"/>
    <w:link w:val="BodyTextIndentChar"/>
    <w:rsid w:val="00DC750B"/>
    <w:pPr>
      <w:tabs>
        <w:tab w:val="num" w:pos="567"/>
      </w:tabs>
      <w:spacing w:before="0" w:after="0"/>
      <w:jc w:val="both"/>
    </w:pPr>
    <w:rPr>
      <w:rFonts w:ascii="Times New Roman" w:hAnsi="Times New Roman"/>
      <w:sz w:val="24"/>
    </w:rPr>
  </w:style>
  <w:style w:type="paragraph" w:styleId="BodyText">
    <w:name w:val="Body Text"/>
    <w:basedOn w:val="Normal"/>
    <w:link w:val="BodyTextChar"/>
    <w:rsid w:val="00DC750B"/>
  </w:style>
  <w:style w:type="paragraph" w:styleId="BodyTextIndent2">
    <w:name w:val="Body Text Indent 2"/>
    <w:basedOn w:val="Normal"/>
    <w:link w:val="BodyTextIndent2Char"/>
    <w:rsid w:val="00DC750B"/>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rsid w:val="00DC750B"/>
    <w:pPr>
      <w:tabs>
        <w:tab w:val="left" w:pos="1276"/>
      </w:tabs>
      <w:ind w:left="1276" w:hanging="425"/>
      <w:jc w:val="both"/>
    </w:pPr>
    <w:rPr>
      <w:sz w:val="24"/>
    </w:rPr>
  </w:style>
  <w:style w:type="paragraph" w:customStyle="1" w:styleId="Text3">
    <w:name w:val="Text 3"/>
    <w:basedOn w:val="Normal"/>
    <w:rsid w:val="00DC750B"/>
    <w:pPr>
      <w:tabs>
        <w:tab w:val="left" w:pos="2302"/>
      </w:tabs>
      <w:spacing w:after="240"/>
      <w:ind w:left="1202"/>
      <w:jc w:val="both"/>
    </w:pPr>
    <w:rPr>
      <w:sz w:val="24"/>
    </w:rPr>
  </w:style>
  <w:style w:type="paragraph" w:styleId="Header">
    <w:name w:val="header"/>
    <w:basedOn w:val="Normal"/>
    <w:link w:val="HeaderChar"/>
    <w:rsid w:val="00DC750B"/>
    <w:pPr>
      <w:tabs>
        <w:tab w:val="center" w:pos="4320"/>
        <w:tab w:val="right" w:pos="8640"/>
      </w:tabs>
    </w:pPr>
  </w:style>
  <w:style w:type="paragraph" w:styleId="Footer">
    <w:name w:val="footer"/>
    <w:basedOn w:val="Normal"/>
    <w:link w:val="FooterChar"/>
    <w:rsid w:val="00DC750B"/>
    <w:pPr>
      <w:tabs>
        <w:tab w:val="center" w:pos="4320"/>
        <w:tab w:val="right" w:pos="8640"/>
      </w:tabs>
    </w:pPr>
  </w:style>
  <w:style w:type="character" w:styleId="PageNumber">
    <w:name w:val="page number"/>
    <w:basedOn w:val="DefaultParagraphFont"/>
    <w:rsid w:val="00DC750B"/>
  </w:style>
  <w:style w:type="paragraph" w:styleId="BodyText3">
    <w:name w:val="Body Text 3"/>
    <w:basedOn w:val="Normal"/>
    <w:link w:val="BodyText3Char"/>
    <w:rsid w:val="00DC750B"/>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DC750B"/>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723015"/>
    <w:pPr>
      <w:spacing w:before="0" w:after="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sid w:val="00DC750B"/>
    <w:rPr>
      <w:vertAlign w:val="superscript"/>
    </w:rPr>
  </w:style>
  <w:style w:type="paragraph" w:styleId="DocumentMap">
    <w:name w:val="Document Map"/>
    <w:basedOn w:val="Normal"/>
    <w:link w:val="DocumentMapChar"/>
    <w:semiHidden/>
    <w:rsid w:val="00DC750B"/>
    <w:pPr>
      <w:shd w:val="clear" w:color="auto" w:fill="000080"/>
    </w:pPr>
    <w:rPr>
      <w:sz w:val="24"/>
      <w:lang w:val="fr-FR"/>
    </w:rPr>
  </w:style>
  <w:style w:type="paragraph" w:customStyle="1" w:styleId="bulletsub">
    <w:name w:val="bullet_sub"/>
    <w:basedOn w:val="Normal"/>
    <w:rsid w:val="00DC750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C750B"/>
    <w:pPr>
      <w:spacing w:after="240"/>
      <w:jc w:val="center"/>
    </w:pPr>
    <w:rPr>
      <w:b/>
      <w:sz w:val="40"/>
    </w:rPr>
  </w:style>
  <w:style w:type="paragraph" w:customStyle="1" w:styleId="SubTitle2">
    <w:name w:val="SubTitle 2"/>
    <w:basedOn w:val="Normal"/>
    <w:rsid w:val="00DC750B"/>
    <w:pPr>
      <w:spacing w:after="240"/>
      <w:jc w:val="center"/>
    </w:pPr>
    <w:rPr>
      <w:b/>
      <w:sz w:val="32"/>
    </w:rPr>
  </w:style>
  <w:style w:type="paragraph" w:customStyle="1" w:styleId="Annexetitle">
    <w:name w:val="Annexe_title"/>
    <w:basedOn w:val="Heading1"/>
    <w:next w:val="Normal"/>
    <w:autoRedefine/>
    <w:rsid w:val="00DC750B"/>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rsid w:val="00DC750B"/>
    <w:pPr>
      <w:keepNext/>
      <w:widowControl w:val="0"/>
      <w:tabs>
        <w:tab w:val="num" w:pos="992"/>
      </w:tabs>
      <w:ind w:left="992" w:hanging="992"/>
    </w:pPr>
    <w:rPr>
      <w:b/>
      <w:sz w:val="18"/>
      <w:lang w:val="fr-FR"/>
    </w:rPr>
  </w:style>
  <w:style w:type="paragraph" w:customStyle="1" w:styleId="titlefront">
    <w:name w:val="title_front"/>
    <w:basedOn w:val="Normal"/>
    <w:rsid w:val="00DC750B"/>
    <w:pPr>
      <w:spacing w:before="240"/>
      <w:ind w:left="1701"/>
      <w:jc w:val="right"/>
    </w:pPr>
    <w:rPr>
      <w:rFonts w:ascii="Optima" w:hAnsi="Optima"/>
      <w:b/>
      <w:sz w:val="28"/>
    </w:rPr>
  </w:style>
  <w:style w:type="paragraph" w:styleId="TOC1">
    <w:name w:val="toc 1"/>
    <w:basedOn w:val="Normal"/>
    <w:next w:val="Normal"/>
    <w:autoRedefine/>
    <w:semiHidden/>
    <w:rsid w:val="00DC750B"/>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C750B"/>
    <w:pPr>
      <w:spacing w:before="0" w:after="0"/>
      <w:ind w:left="200"/>
    </w:pPr>
    <w:rPr>
      <w:rFonts w:ascii="Times New Roman" w:hAnsi="Times New Roman"/>
      <w:smallCaps/>
    </w:rPr>
  </w:style>
  <w:style w:type="character" w:styleId="Strong">
    <w:name w:val="Strong"/>
    <w:qFormat/>
    <w:rsid w:val="00DC750B"/>
    <w:rPr>
      <w:b/>
    </w:rPr>
  </w:style>
  <w:style w:type="paragraph" w:customStyle="1" w:styleId="Blockquote">
    <w:name w:val="Blockquote"/>
    <w:basedOn w:val="Normal"/>
    <w:rsid w:val="00DC750B"/>
    <w:pPr>
      <w:widowControl w:val="0"/>
      <w:spacing w:before="100" w:after="100"/>
      <w:ind w:left="360" w:right="360"/>
    </w:pPr>
    <w:rPr>
      <w:sz w:val="24"/>
      <w:lang w:val="en-US"/>
    </w:rPr>
  </w:style>
  <w:style w:type="paragraph" w:styleId="TOC3">
    <w:name w:val="toc 3"/>
    <w:basedOn w:val="Normal"/>
    <w:next w:val="Normal"/>
    <w:autoRedefine/>
    <w:semiHidden/>
    <w:rsid w:val="00DC750B"/>
    <w:pPr>
      <w:spacing w:before="0" w:after="0"/>
      <w:ind w:left="400"/>
    </w:pPr>
    <w:rPr>
      <w:rFonts w:ascii="Times New Roman" w:hAnsi="Times New Roman"/>
      <w:i/>
    </w:rPr>
  </w:style>
  <w:style w:type="paragraph" w:styleId="TOC4">
    <w:name w:val="toc 4"/>
    <w:basedOn w:val="Normal"/>
    <w:next w:val="Normal"/>
    <w:autoRedefine/>
    <w:semiHidden/>
    <w:rsid w:val="00DC750B"/>
    <w:pPr>
      <w:spacing w:before="0" w:after="0"/>
      <w:ind w:left="600"/>
    </w:pPr>
    <w:rPr>
      <w:rFonts w:ascii="Times New Roman" w:hAnsi="Times New Roman"/>
      <w:sz w:val="18"/>
    </w:rPr>
  </w:style>
  <w:style w:type="paragraph" w:styleId="TOC5">
    <w:name w:val="toc 5"/>
    <w:basedOn w:val="Normal"/>
    <w:next w:val="Normal"/>
    <w:autoRedefine/>
    <w:semiHidden/>
    <w:rsid w:val="00DC750B"/>
    <w:pPr>
      <w:spacing w:before="0" w:after="0"/>
      <w:ind w:left="800"/>
    </w:pPr>
    <w:rPr>
      <w:rFonts w:ascii="Times New Roman" w:hAnsi="Times New Roman"/>
      <w:sz w:val="18"/>
    </w:rPr>
  </w:style>
  <w:style w:type="paragraph" w:styleId="TOC6">
    <w:name w:val="toc 6"/>
    <w:basedOn w:val="Normal"/>
    <w:next w:val="Normal"/>
    <w:autoRedefine/>
    <w:semiHidden/>
    <w:rsid w:val="00DC750B"/>
    <w:pPr>
      <w:spacing w:before="0" w:after="0"/>
      <w:ind w:left="1000"/>
    </w:pPr>
    <w:rPr>
      <w:rFonts w:ascii="Times New Roman" w:hAnsi="Times New Roman"/>
      <w:sz w:val="18"/>
    </w:rPr>
  </w:style>
  <w:style w:type="paragraph" w:styleId="TOC7">
    <w:name w:val="toc 7"/>
    <w:basedOn w:val="Normal"/>
    <w:next w:val="Normal"/>
    <w:autoRedefine/>
    <w:semiHidden/>
    <w:rsid w:val="00DC750B"/>
    <w:pPr>
      <w:spacing w:before="0" w:after="0"/>
      <w:ind w:left="1200"/>
    </w:pPr>
    <w:rPr>
      <w:rFonts w:ascii="Times New Roman" w:hAnsi="Times New Roman"/>
      <w:sz w:val="18"/>
    </w:rPr>
  </w:style>
  <w:style w:type="paragraph" w:styleId="TOC8">
    <w:name w:val="toc 8"/>
    <w:basedOn w:val="Normal"/>
    <w:next w:val="Normal"/>
    <w:autoRedefine/>
    <w:semiHidden/>
    <w:rsid w:val="00DC750B"/>
    <w:pPr>
      <w:spacing w:before="0" w:after="0"/>
      <w:ind w:left="1400"/>
    </w:pPr>
    <w:rPr>
      <w:rFonts w:ascii="Times New Roman" w:hAnsi="Times New Roman"/>
      <w:sz w:val="18"/>
    </w:rPr>
  </w:style>
  <w:style w:type="paragraph" w:styleId="TOC9">
    <w:name w:val="toc 9"/>
    <w:basedOn w:val="Normal"/>
    <w:next w:val="Normal"/>
    <w:autoRedefine/>
    <w:semiHidden/>
    <w:rsid w:val="00DC750B"/>
    <w:pPr>
      <w:spacing w:before="0" w:after="0"/>
      <w:ind w:left="1600"/>
    </w:pPr>
    <w:rPr>
      <w:rFonts w:ascii="Times New Roman" w:hAnsi="Times New Roman"/>
      <w:sz w:val="18"/>
    </w:rPr>
  </w:style>
  <w:style w:type="character" w:styleId="FollowedHyperlink">
    <w:name w:val="FollowedHyperlink"/>
    <w:rsid w:val="00DC750B"/>
    <w:rPr>
      <w:color w:val="800080"/>
      <w:u w:val="single"/>
    </w:rPr>
  </w:style>
  <w:style w:type="paragraph" w:customStyle="1" w:styleId="Style2">
    <w:name w:val="Style2"/>
    <w:basedOn w:val="Style1"/>
    <w:rsid w:val="00DC750B"/>
    <w:pPr>
      <w:tabs>
        <w:tab w:val="clear" w:pos="992"/>
        <w:tab w:val="num" w:pos="2091"/>
      </w:tabs>
      <w:ind w:left="2977"/>
      <w:jc w:val="both"/>
    </w:pPr>
  </w:style>
  <w:style w:type="paragraph" w:customStyle="1" w:styleId="text">
    <w:name w:val="text"/>
    <w:rsid w:val="00DC750B"/>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DC750B"/>
    <w:pPr>
      <w:widowControl w:val="0"/>
      <w:spacing w:before="0" w:after="0" w:line="360" w:lineRule="exact"/>
      <w:jc w:val="center"/>
    </w:pPr>
    <w:rPr>
      <w:b/>
      <w:sz w:val="32"/>
      <w:lang w:val="cs-CZ"/>
    </w:rPr>
  </w:style>
  <w:style w:type="paragraph" w:customStyle="1" w:styleId="ManualNumPar1">
    <w:name w:val="Manual NumPar 1"/>
    <w:basedOn w:val="Normal"/>
    <w:next w:val="Normal"/>
    <w:rsid w:val="00DC750B"/>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D45256"/>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723015"/>
    <w:rPr>
      <w:snapToGrid w:val="0"/>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val="en-GB"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customStyle="1" w:styleId="UnresolvedMention">
    <w:name w:val="Unresolved Mention"/>
    <w:uiPriority w:val="99"/>
    <w:semiHidden/>
    <w:unhideWhenUsed/>
    <w:rsid w:val="00561872"/>
    <w:rPr>
      <w:color w:val="605E5C"/>
      <w:shd w:val="clear" w:color="auto" w:fill="E1DFDD"/>
    </w:rPr>
  </w:style>
  <w:style w:type="paragraph" w:customStyle="1" w:styleId="CharCharChar">
    <w:name w:val="Char Char Char"/>
    <w:basedOn w:val="Normal"/>
    <w:link w:val="FootnoteReference"/>
    <w:rsid w:val="00DF4031"/>
    <w:pPr>
      <w:spacing w:before="0" w:after="0" w:line="240" w:lineRule="exact"/>
    </w:pPr>
    <w:rPr>
      <w:rFonts w:ascii="Times New Roman" w:hAnsi="Times New Roman"/>
      <w:snapToGrid/>
      <w:vertAlign w:val="superscript"/>
      <w:lang w:eastAsia="en-GB"/>
    </w:rPr>
  </w:style>
</w:styles>
</file>

<file path=word/webSettings.xml><?xml version="1.0" encoding="utf-8"?>
<w:webSettings xmlns:r="http://schemas.openxmlformats.org/officeDocument/2006/relationships" xmlns:w="http://schemas.openxmlformats.org/wordprocessingml/2006/main">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59436141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budget/explained/management/protecting/protect_en.cfm"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s://www.sanctionsmap.eu/"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DEC8-C523-4F60-B7E6-98FC9B39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7</Pages>
  <Words>6025</Words>
  <Characters>34343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40288</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27</cp:revision>
  <cp:lastPrinted>2025-06-12T07:07:00Z</cp:lastPrinted>
  <dcterms:created xsi:type="dcterms:W3CDTF">2024-06-17T14:07:00Z</dcterms:created>
  <dcterms:modified xsi:type="dcterms:W3CDTF">2025-06-12T07:07:00Z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2023-04-04T08:25:04Z</vt:lpwstr>
  </property>
  <property fmtid="{D5CDD505-2E9C-101B-9397-08002B2CF9AE}" pid="10" name="MSIP_Label_6bd9ddd1-4d20-43f6-abfa-fc3c07406f94_Method">
    <vt:lpwstr>Privileged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ee81b4b7-452f-47a1-9376-022cade272e5</vt:lpwstr>
  </property>
  <property fmtid="{D5CDD505-2E9C-101B-9397-08002B2CF9AE}" pid="14" name="MSIP_Label_6bd9ddd1-4d20-43f6-abfa-fc3c07406f94_ContentBits">
    <vt:lpwstr>0</vt:lpwstr>
  </property>
</Properties>
</file>